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spacing w:before="0" w:after="0" w:line="26" w:lineRule="exact"/>
        <w:ind w:left="0" w:right="0"/>
      </w:pPr>
    </w:p>
    <w:p>
      <w:pPr>
        <w:widowControl/>
        <w:autoSpaceDE w:val="0"/>
        <w:autoSpaceDN w:val="0"/>
        <w:spacing w:before="0" w:after="0" w:line="552" w:lineRule="exact"/>
        <w:ind w:right="1152"/>
        <w:jc w:val="center"/>
        <w:rPr>
          <w:rFonts w:ascii="Arial" w:hAnsi="Arial" w:eastAsia="Arial"/>
          <w:b/>
          <w:bCs/>
          <w:i w:val="0"/>
          <w:color w:val="000000"/>
          <w:sz w:val="36"/>
        </w:rPr>
      </w:pPr>
      <w:r>
        <w:rPr>
          <w:rFonts w:hint="eastAsia" w:ascii="Arial" w:hAnsi="Arial" w:eastAsia="宋体"/>
          <w:b/>
          <w:bCs/>
          <w:i w:val="0"/>
          <w:color w:val="000000"/>
          <w:sz w:val="36"/>
          <w:lang w:val="en-US" w:eastAsia="zh-CN"/>
        </w:rPr>
        <w:t xml:space="preserve">        </w:t>
      </w:r>
      <w:r>
        <w:rPr>
          <w:rFonts w:ascii="Arial" w:hAnsi="Arial" w:eastAsia="Arial"/>
          <w:b/>
          <w:bCs/>
          <w:i w:val="0"/>
          <w:color w:val="000000"/>
          <w:sz w:val="36"/>
        </w:rPr>
        <w:t>《</w:t>
      </w:r>
      <w:r>
        <w:rPr>
          <w:rFonts w:hint="eastAsia" w:ascii="Arial" w:hAnsi="Arial" w:eastAsia="宋体"/>
          <w:b/>
          <w:bCs/>
          <w:i w:val="0"/>
          <w:color w:val="000000"/>
          <w:sz w:val="36"/>
          <w:lang w:val="en-US" w:eastAsia="zh-CN"/>
        </w:rPr>
        <w:t>脆木耳</w:t>
      </w:r>
      <w:r>
        <w:rPr>
          <w:rFonts w:ascii="Arial" w:hAnsi="Arial" w:eastAsia="Arial"/>
          <w:b/>
          <w:bCs/>
          <w:i w:val="0"/>
          <w:color w:val="000000"/>
          <w:sz w:val="36"/>
        </w:rPr>
        <w:t>生产技术规程》地方标准</w:t>
      </w:r>
    </w:p>
    <w:p>
      <w:pPr>
        <w:widowControl/>
        <w:autoSpaceDE w:val="0"/>
        <w:autoSpaceDN w:val="0"/>
        <w:spacing w:before="0" w:after="0" w:line="552" w:lineRule="exact"/>
        <w:ind w:right="1152"/>
        <w:jc w:val="center"/>
      </w:pPr>
      <w:r>
        <w:rPr>
          <w:rFonts w:hint="eastAsia" w:ascii="Arial" w:hAnsi="Arial" w:eastAsia="宋体"/>
          <w:b/>
          <w:bCs/>
          <w:i w:val="0"/>
          <w:color w:val="000000"/>
          <w:sz w:val="36"/>
          <w:lang w:val="en-US" w:eastAsia="zh-CN"/>
        </w:rPr>
        <w:t xml:space="preserve">     </w:t>
      </w:r>
      <w:r>
        <w:rPr>
          <w:rFonts w:ascii="Arial" w:hAnsi="Arial" w:eastAsia="Arial"/>
          <w:b/>
          <w:bCs/>
          <w:i w:val="0"/>
          <w:color w:val="000000"/>
          <w:sz w:val="36"/>
        </w:rPr>
        <w:t>编制说明</w:t>
      </w:r>
    </w:p>
    <w:p>
      <w:pPr>
        <w:widowControl/>
        <w:numPr>
          <w:ilvl w:val="0"/>
          <w:numId w:val="0"/>
        </w:numPr>
        <w:tabs>
          <w:tab w:val="left" w:pos="640"/>
        </w:tabs>
        <w:autoSpaceDE w:val="0"/>
        <w:autoSpaceDN w:val="0"/>
        <w:spacing w:before="0" w:after="0" w:line="622" w:lineRule="exact"/>
        <w:ind w:left="616" w:leftChars="280" w:right="0" w:rightChars="0" w:firstLine="0" w:firstLineChars="0"/>
        <w:jc w:val="left"/>
        <w:rPr>
          <w:rFonts w:hint="eastAsia" w:ascii="黑体" w:hAnsi="黑体" w:eastAsia="黑体" w:cstheme="minorBidi"/>
          <w:b w:val="0"/>
          <w:i w:val="0"/>
          <w:color w:val="000000"/>
          <w:sz w:val="31"/>
          <w:szCs w:val="22"/>
          <w:lang w:val="en-US" w:eastAsia="en-US" w:bidi="ar-SA"/>
        </w:rPr>
      </w:pPr>
      <w:r>
        <w:rPr>
          <w:rFonts w:hint="eastAsia" w:ascii="黑体" w:hAnsi="黑体" w:eastAsia="黑体" w:cstheme="minorBidi"/>
          <w:b w:val="0"/>
          <w:i w:val="0"/>
          <w:color w:val="000000"/>
          <w:sz w:val="31"/>
          <w:szCs w:val="22"/>
          <w:lang w:val="en-US" w:eastAsia="en-US" w:bidi="ar-SA"/>
        </w:rPr>
        <w:t>一、工作简况</w:t>
      </w:r>
    </w:p>
    <w:p>
      <w:pPr>
        <w:widowControl/>
        <w:numPr>
          <w:ilvl w:val="0"/>
          <w:numId w:val="0"/>
        </w:numPr>
        <w:tabs>
          <w:tab w:val="left" w:pos="758"/>
        </w:tabs>
        <w:autoSpaceDE w:val="0"/>
        <w:autoSpaceDN w:val="0"/>
        <w:spacing w:before="0" w:after="0" w:line="620" w:lineRule="exact"/>
        <w:ind w:left="118" w:leftChars="0" w:right="0" w:rightChars="0" w:firstLine="622" w:firstLineChars="200"/>
        <w:jc w:val="left"/>
        <w:rPr>
          <w:rFonts w:ascii="楷体" w:hAnsi="楷体" w:eastAsia="楷体"/>
          <w:b/>
          <w:i w:val="0"/>
          <w:color w:val="000000"/>
          <w:sz w:val="31"/>
        </w:rPr>
      </w:pPr>
      <w:r>
        <w:rPr>
          <w:rFonts w:ascii="楷体" w:hAnsi="楷体" w:eastAsia="楷体"/>
          <w:b/>
          <w:i w:val="0"/>
          <w:color w:val="000000"/>
          <w:sz w:val="31"/>
        </w:rPr>
        <w:t>1.任务来源</w:t>
      </w:r>
    </w:p>
    <w:p>
      <w:pPr>
        <w:widowControl/>
        <w:numPr>
          <w:ilvl w:val="0"/>
          <w:numId w:val="0"/>
        </w:numPr>
        <w:tabs>
          <w:tab w:val="left" w:pos="758"/>
        </w:tabs>
        <w:autoSpaceDE w:val="0"/>
        <w:autoSpaceDN w:val="0"/>
        <w:spacing w:before="0" w:after="0" w:line="620" w:lineRule="exact"/>
        <w:ind w:right="0" w:rightChars="0" w:firstLine="620" w:firstLineChars="200"/>
        <w:jc w:val="left"/>
        <w:rPr>
          <w:rFonts w:hint="eastAsia" w:ascii="仿宋" w:hAnsi="仿宋" w:eastAsia="仿宋"/>
          <w:b w:val="0"/>
          <w:i w:val="0"/>
          <w:color w:val="000000"/>
          <w:sz w:val="31"/>
          <w:lang w:val="en-US" w:eastAsia="zh-CN"/>
        </w:rPr>
      </w:pPr>
      <w:r>
        <w:rPr>
          <w:rFonts w:hint="eastAsia" w:ascii="仿宋" w:hAnsi="仿宋" w:eastAsia="仿宋"/>
          <w:b w:val="0"/>
          <w:i w:val="0"/>
          <w:color w:val="000000"/>
          <w:spacing w:val="0"/>
          <w:sz w:val="31"/>
          <w:lang w:val="en-US" w:eastAsia="zh-CN"/>
        </w:rPr>
        <w:t>2025年6月25日，江西省市场监督管理局下达 2025 年度第三批江西省地方标准制修订项目计划（赣市监标函〔</w:t>
      </w:r>
      <w:r>
        <w:rPr>
          <w:rFonts w:hint="default" w:ascii="仿宋" w:hAnsi="仿宋" w:eastAsia="仿宋"/>
          <w:b w:val="0"/>
          <w:i w:val="0"/>
          <w:color w:val="000000"/>
          <w:spacing w:val="0"/>
          <w:sz w:val="31"/>
          <w:lang w:val="en-US" w:eastAsia="zh-CN"/>
        </w:rPr>
        <w:t>2025</w:t>
      </w:r>
      <w:r>
        <w:rPr>
          <w:rFonts w:hint="eastAsia" w:ascii="仿宋" w:hAnsi="仿宋" w:eastAsia="仿宋"/>
          <w:b w:val="0"/>
          <w:i w:val="0"/>
          <w:color w:val="000000"/>
          <w:spacing w:val="0"/>
          <w:sz w:val="31"/>
          <w:lang w:val="en-US" w:eastAsia="zh-CN"/>
        </w:rPr>
        <w:t>〕</w:t>
      </w:r>
      <w:r>
        <w:rPr>
          <w:rFonts w:hint="default" w:ascii="仿宋" w:hAnsi="仿宋" w:eastAsia="仿宋"/>
          <w:b w:val="0"/>
          <w:i w:val="0"/>
          <w:color w:val="000000"/>
          <w:spacing w:val="0"/>
          <w:sz w:val="31"/>
          <w:lang w:val="en-US" w:eastAsia="zh-CN"/>
        </w:rPr>
        <w:t xml:space="preserve">4 </w:t>
      </w:r>
      <w:r>
        <w:rPr>
          <w:rFonts w:hint="eastAsia" w:ascii="仿宋" w:hAnsi="仿宋" w:eastAsia="仿宋"/>
          <w:b w:val="0"/>
          <w:i w:val="0"/>
          <w:color w:val="000000"/>
          <w:spacing w:val="0"/>
          <w:sz w:val="31"/>
          <w:lang w:val="en-US" w:eastAsia="zh-CN"/>
        </w:rPr>
        <w:t>号），批准了地方标准《脆木耳生产技术规程》（</w:t>
      </w:r>
      <w:r>
        <w:rPr>
          <w:rFonts w:hint="eastAsia" w:ascii="仿宋" w:hAnsi="仿宋" w:eastAsia="仿宋"/>
          <w:b w:val="0"/>
          <w:i w:val="0"/>
          <w:color w:val="000000"/>
          <w:sz w:val="31"/>
          <w:lang w:val="en-US" w:eastAsia="zh-CN"/>
        </w:rPr>
        <w:t>计划编号：DB36-2025-3-05）的制定。该标准由江西省农业农村厅提出，江西农业大学和抚州市利财食用菌科技有限公司申请立项。</w:t>
      </w:r>
    </w:p>
    <w:p>
      <w:pPr>
        <w:widowControl/>
        <w:tabs>
          <w:tab w:val="left" w:pos="758"/>
        </w:tabs>
        <w:autoSpaceDE w:val="0"/>
        <w:autoSpaceDN w:val="0"/>
        <w:spacing w:before="0" w:after="0" w:line="620" w:lineRule="exact"/>
        <w:ind w:left="118" w:right="0" w:firstLine="622" w:firstLineChars="200"/>
        <w:jc w:val="left"/>
        <w:rPr>
          <w:rFonts w:ascii="楷体" w:hAnsi="楷体" w:eastAsia="楷体"/>
          <w:b/>
          <w:i w:val="0"/>
          <w:color w:val="000000"/>
          <w:sz w:val="31"/>
        </w:rPr>
      </w:pPr>
      <w:r>
        <w:rPr>
          <w:rFonts w:ascii="楷体" w:hAnsi="楷体" w:eastAsia="楷体"/>
          <w:b/>
          <w:i w:val="0"/>
          <w:color w:val="000000"/>
          <w:sz w:val="31"/>
        </w:rPr>
        <w:t>2.起草单位</w:t>
      </w:r>
    </w:p>
    <w:p>
      <w:pPr>
        <w:widowControl/>
        <w:tabs>
          <w:tab w:val="left" w:pos="758"/>
        </w:tabs>
        <w:autoSpaceDE w:val="0"/>
        <w:autoSpaceDN w:val="0"/>
        <w:spacing w:before="0" w:after="0" w:line="620" w:lineRule="exact"/>
        <w:ind w:left="118" w:right="0" w:firstLine="620" w:firstLineChars="200"/>
        <w:jc w:val="left"/>
        <w:rPr>
          <w:rFonts w:ascii="仿宋" w:hAnsi="仿宋" w:eastAsia="仿宋"/>
          <w:b w:val="0"/>
          <w:i w:val="0"/>
          <w:color w:val="000000"/>
          <w:sz w:val="31"/>
        </w:rPr>
      </w:pPr>
      <w:r>
        <w:rPr>
          <w:rFonts w:ascii="仿宋" w:hAnsi="仿宋" w:eastAsia="仿宋"/>
          <w:b w:val="0"/>
          <w:i w:val="0"/>
          <w:color w:val="000000"/>
          <w:sz w:val="31"/>
        </w:rPr>
        <w:t>起草单位：</w:t>
      </w:r>
      <w:r>
        <w:rPr>
          <w:rFonts w:hint="eastAsia" w:ascii="仿宋" w:hAnsi="仿宋" w:eastAsia="仿宋"/>
          <w:b w:val="0"/>
          <w:i w:val="0"/>
          <w:color w:val="000000"/>
          <w:sz w:val="31"/>
          <w:lang w:val="en-US" w:eastAsia="zh-CN"/>
        </w:rPr>
        <w:t>江西农业大学、抚州市利财食用菌科技有限公司</w:t>
      </w:r>
      <w:r>
        <w:rPr>
          <w:rFonts w:ascii="仿宋" w:hAnsi="仿宋" w:eastAsia="仿宋"/>
          <w:b w:val="0"/>
          <w:i w:val="0"/>
          <w:color w:val="000000"/>
          <w:sz w:val="31"/>
        </w:rPr>
        <w:t>。</w:t>
      </w:r>
    </w:p>
    <w:p>
      <w:pPr>
        <w:widowControl/>
        <w:numPr>
          <w:ilvl w:val="0"/>
          <w:numId w:val="0"/>
        </w:numPr>
        <w:autoSpaceDE w:val="0"/>
        <w:autoSpaceDN w:val="0"/>
        <w:spacing w:before="284" w:after="130" w:line="320" w:lineRule="exact"/>
        <w:ind w:left="758" w:leftChars="0" w:right="0" w:rightChars="0"/>
        <w:jc w:val="left"/>
        <w:rPr>
          <w:rFonts w:ascii="楷体" w:hAnsi="楷体" w:eastAsia="楷体"/>
          <w:b/>
          <w:i w:val="0"/>
          <w:color w:val="000000"/>
          <w:sz w:val="31"/>
        </w:rPr>
      </w:pPr>
      <w:r>
        <w:rPr>
          <w:rFonts w:hint="eastAsia" w:ascii="楷体" w:hAnsi="楷体" w:eastAsia="楷体"/>
          <w:b/>
          <w:i w:val="0"/>
          <w:color w:val="000000"/>
          <w:sz w:val="31"/>
          <w:lang w:val="en-US" w:eastAsia="zh-CN"/>
        </w:rPr>
        <w:t>3.</w:t>
      </w:r>
      <w:r>
        <w:rPr>
          <w:rFonts w:ascii="楷体" w:hAnsi="楷体" w:eastAsia="楷体"/>
          <w:b/>
          <w:i w:val="0"/>
          <w:color w:val="000000"/>
          <w:sz w:val="31"/>
        </w:rPr>
        <w:t>主要起草人</w:t>
      </w:r>
    </w:p>
    <w:tbl>
      <w:tblPr>
        <w:tblStyle w:val="33"/>
        <w:tblW w:w="4842"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1160"/>
        <w:gridCol w:w="1905"/>
        <w:gridCol w:w="2432"/>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姓名</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性别</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职务/职称</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工作单位</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霍光华</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正处级/教授</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default"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标准制定</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吴京城</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研究生</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章文浩</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研究生</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谢远财</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董事长</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default"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抚州市利财食用菌科技有限公司</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试验示范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颜俊清</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副教授</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崔朝宇</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讲师</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eastAsia"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rPr>
              <w:t>霍达</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eastAsia"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default"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bidi="ar-SA"/>
              </w:rPr>
              <w:t>助教</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eastAsia"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eastAsia"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bidi="ar-SA"/>
              </w:rPr>
              <w:t>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default"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吴磊燕</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default"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default"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教授</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eastAsia"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left="0" w:leftChars="0" w:right="0" w:rightChars="0" w:firstLine="0" w:firstLineChars="0"/>
              <w:jc w:val="center"/>
              <w:textAlignment w:val="auto"/>
              <w:rPr>
                <w:rFonts w:hint="eastAsia" w:ascii="仿宋" w:hAnsi="仿宋" w:eastAsia="仿宋" w:cs="仿宋"/>
                <w:b w:val="0"/>
                <w:bCs/>
                <w:i w:val="0"/>
                <w:color w:val="000000"/>
                <w:sz w:val="28"/>
                <w:szCs w:val="28"/>
                <w:vertAlign w:val="baseline"/>
                <w:lang w:val="en-US" w:eastAsia="zh-CN" w:bidi="ar-SA"/>
              </w:rPr>
            </w:pPr>
            <w:r>
              <w:rPr>
                <w:rFonts w:hint="eastAsia" w:ascii="仿宋" w:hAnsi="仿宋" w:eastAsia="仿宋" w:cs="仿宋"/>
                <w:b w:val="0"/>
                <w:bCs/>
                <w:i w:val="0"/>
                <w:color w:val="000000"/>
                <w:sz w:val="28"/>
                <w:szCs w:val="28"/>
                <w:vertAlign w:val="baseline"/>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胡殿明</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副所长/教授</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龙昊知</w:t>
            </w:r>
          </w:p>
        </w:tc>
        <w:tc>
          <w:tcPr>
            <w:tcW w:w="700"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男</w:t>
            </w:r>
          </w:p>
        </w:tc>
        <w:tc>
          <w:tcPr>
            <w:tcW w:w="1149"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default"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副教授</w:t>
            </w:r>
          </w:p>
        </w:tc>
        <w:tc>
          <w:tcPr>
            <w:tcW w:w="1467"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江西农业大学</w:t>
            </w:r>
          </w:p>
        </w:tc>
        <w:tc>
          <w:tcPr>
            <w:tcW w:w="942" w:type="pct"/>
            <w:vAlign w:val="center"/>
          </w:tcPr>
          <w:p>
            <w:pPr>
              <w:keepNext w:val="0"/>
              <w:keepLines w:val="0"/>
              <w:pageBreakBefore w:val="0"/>
              <w:widowControl/>
              <w:numPr>
                <w:ilvl w:val="0"/>
                <w:numId w:val="0"/>
              </w:numPr>
              <w:kinsoku/>
              <w:wordWrap/>
              <w:overflowPunct/>
              <w:topLinePunct w:val="0"/>
              <w:autoSpaceDE w:val="0"/>
              <w:autoSpaceDN w:val="0"/>
              <w:bidi w:val="0"/>
              <w:adjustRightInd/>
              <w:snapToGrid/>
              <w:spacing w:after="0" w:line="320" w:lineRule="exact"/>
              <w:ind w:right="0" w:rightChars="0"/>
              <w:jc w:val="center"/>
              <w:textAlignment w:val="auto"/>
              <w:rPr>
                <w:rFonts w:hint="eastAsia" w:ascii="仿宋" w:hAnsi="仿宋" w:eastAsia="仿宋" w:cs="仿宋"/>
                <w:b w:val="0"/>
                <w:bCs/>
                <w:i w:val="0"/>
                <w:color w:val="000000"/>
                <w:sz w:val="28"/>
                <w:szCs w:val="28"/>
                <w:vertAlign w:val="baseline"/>
                <w:lang w:val="en-US" w:eastAsia="zh-CN"/>
              </w:rPr>
            </w:pPr>
            <w:r>
              <w:rPr>
                <w:rFonts w:hint="eastAsia" w:ascii="仿宋" w:hAnsi="仿宋" w:eastAsia="仿宋" w:cs="仿宋"/>
                <w:b w:val="0"/>
                <w:bCs/>
                <w:i w:val="0"/>
                <w:color w:val="000000"/>
                <w:sz w:val="28"/>
                <w:szCs w:val="28"/>
                <w:vertAlign w:val="baseline"/>
                <w:lang w:val="en-US" w:eastAsia="zh-CN"/>
              </w:rPr>
              <w:t>技术研发</w:t>
            </w:r>
          </w:p>
        </w:tc>
      </w:tr>
    </w:tbl>
    <w:p>
      <w:pPr>
        <w:widowControl/>
        <w:numPr>
          <w:ilvl w:val="0"/>
          <w:numId w:val="0"/>
        </w:numPr>
        <w:tabs>
          <w:tab w:val="left" w:pos="640"/>
        </w:tabs>
        <w:autoSpaceDE w:val="0"/>
        <w:autoSpaceDN w:val="0"/>
        <w:spacing w:before="0" w:after="0" w:line="622" w:lineRule="exact"/>
        <w:ind w:left="616" w:leftChars="280" w:right="0" w:rightChars="0" w:firstLine="0" w:firstLineChars="0"/>
        <w:jc w:val="left"/>
        <w:rPr>
          <w:rFonts w:hint="eastAsia" w:ascii="黑体" w:hAnsi="黑体" w:eastAsia="黑体" w:cstheme="minorBidi"/>
          <w:b w:val="0"/>
          <w:i w:val="0"/>
          <w:color w:val="000000"/>
          <w:sz w:val="31"/>
          <w:szCs w:val="22"/>
          <w:lang w:val="en-US" w:eastAsia="en-US" w:bidi="ar-SA"/>
        </w:rPr>
      </w:pPr>
      <w:r>
        <w:rPr>
          <w:rFonts w:hint="eastAsia" w:ascii="黑体" w:hAnsi="黑体" w:eastAsia="黑体" w:cstheme="minorBidi"/>
          <w:b w:val="0"/>
          <w:i w:val="0"/>
          <w:color w:val="000000"/>
          <w:sz w:val="31"/>
          <w:szCs w:val="22"/>
          <w:lang w:val="en-US" w:eastAsia="en-US" w:bidi="ar-SA"/>
        </w:rPr>
        <w:t>二、制定（修订）标准的必要性和意义</w:t>
      </w:r>
    </w:p>
    <w:p>
      <w:pPr>
        <w:widowControl/>
        <w:autoSpaceDE w:val="0"/>
        <w:autoSpaceDN w:val="0"/>
        <w:spacing w:before="0" w:after="0" w:line="564" w:lineRule="exact"/>
        <w:ind w:left="0" w:right="32" w:firstLine="620" w:firstLineChars="200"/>
        <w:jc w:val="both"/>
        <w:rPr>
          <w:rFonts w:hint="eastAsia" w:ascii="仿宋" w:hAnsi="仿宋" w:eastAsia="仿宋"/>
          <w:b w:val="0"/>
          <w:i w:val="0"/>
          <w:color w:val="000000"/>
          <w:sz w:val="31"/>
          <w:lang w:val="en-US" w:eastAsia="zh-CN"/>
        </w:rPr>
      </w:pPr>
      <w:r>
        <w:rPr>
          <w:rFonts w:hint="eastAsia" w:ascii="仿宋" w:hAnsi="仿宋" w:eastAsia="仿宋"/>
          <w:b w:val="0"/>
          <w:i w:val="0"/>
          <w:color w:val="000000"/>
          <w:sz w:val="31"/>
          <w:lang w:val="en-US" w:eastAsia="zh-CN"/>
        </w:rPr>
        <w:t>脆木耳作为一种营养丰富、口感独特的食用菌，近年来市场需求持续增长。然而，当前脆木耳栽培技术存在诸多不足，缺乏统一、规范的栽培生产技术规程，导致栽培过程中产量不稳定、品质参差不齐，制约了脆木耳产业的健康发展。部分种植户缺乏科学选种知识，选用的菌种抗病性差、产量低；栽培管理方面，温度、湿度、光照和通气等环境条件控制不当，影响脆木耳的产量和品质，甚至容易引发病虫害。</w:t>
      </w:r>
    </w:p>
    <w:p>
      <w:pPr>
        <w:widowControl/>
        <w:autoSpaceDE w:val="0"/>
        <w:autoSpaceDN w:val="0"/>
        <w:spacing w:before="0" w:after="0" w:line="564" w:lineRule="exact"/>
        <w:ind w:left="0" w:right="32" w:firstLine="620" w:firstLineChars="200"/>
        <w:jc w:val="both"/>
        <w:rPr>
          <w:rFonts w:hint="eastAsia" w:ascii="仿宋" w:hAnsi="仿宋" w:eastAsia="仿宋"/>
          <w:b w:val="0"/>
          <w:i w:val="0"/>
          <w:color w:val="000000"/>
          <w:sz w:val="31"/>
          <w:lang w:val="en-US" w:eastAsia="zh-CN"/>
        </w:rPr>
      </w:pPr>
      <w:r>
        <w:rPr>
          <w:rFonts w:hint="eastAsia" w:ascii="仿宋" w:hAnsi="仿宋" w:eastAsia="仿宋"/>
          <w:b w:val="0"/>
          <w:i w:val="0"/>
          <w:color w:val="000000"/>
          <w:sz w:val="31"/>
          <w:lang w:val="en-US" w:eastAsia="zh-CN"/>
        </w:rPr>
        <w:t>制定并实施脆木耳生产技术规程，可引导脆木耳种植户合理布局、科学种植，优化种植流程，降低生产成本，促进脆木耳产业的规模化、标准化生产，还可提高脆木耳的产量和品质，满足市场对高品质脆木耳的需求，增强产品市场竞争力。同时，脆木耳产业化的发展，可带动菌种生产、栽培基质制作、菌菇物流多样化等相关产业协同发展，为我省食用菌产业经济增长注入新动力。脆木耳的规模化种植，可降解我省大量的森林枯枝残体、农作物秸秆等，促进农林生态系统的良性循环。同时属于劳动密集型食用菌产业，可一定程度上解决当地就业压力，带头周边农户参与该产业一起致富。</w:t>
      </w:r>
    </w:p>
    <w:p>
      <w:pPr>
        <w:widowControl/>
        <w:autoSpaceDE w:val="0"/>
        <w:autoSpaceDN w:val="0"/>
        <w:spacing w:before="0" w:after="0" w:line="564" w:lineRule="exact"/>
        <w:ind w:left="0" w:right="32" w:firstLine="620" w:firstLineChars="200"/>
        <w:jc w:val="both"/>
      </w:pPr>
      <w:r>
        <w:rPr>
          <w:rFonts w:ascii="仿宋" w:hAnsi="仿宋" w:eastAsia="仿宋"/>
          <w:b w:val="0"/>
          <w:i w:val="0"/>
          <w:color w:val="000000"/>
          <w:sz w:val="31"/>
        </w:rPr>
        <w:t>目前江西</w:t>
      </w:r>
      <w:r>
        <w:rPr>
          <w:rFonts w:hint="eastAsia" w:ascii="仿宋" w:hAnsi="仿宋" w:eastAsia="仿宋"/>
          <w:b w:val="0"/>
          <w:i w:val="0"/>
          <w:color w:val="000000"/>
          <w:sz w:val="31"/>
          <w:lang w:val="en-US" w:eastAsia="zh-CN"/>
        </w:rPr>
        <w:t>南昌</w:t>
      </w:r>
      <w:r>
        <w:rPr>
          <w:rFonts w:ascii="仿宋" w:hAnsi="仿宋" w:eastAsia="仿宋"/>
          <w:b w:val="0"/>
          <w:i w:val="0"/>
          <w:color w:val="000000"/>
          <w:sz w:val="31"/>
        </w:rPr>
        <w:t>、</w:t>
      </w:r>
      <w:r>
        <w:rPr>
          <w:rFonts w:hint="eastAsia" w:ascii="仿宋" w:hAnsi="仿宋" w:eastAsia="仿宋"/>
          <w:b w:val="0"/>
          <w:i w:val="0"/>
          <w:color w:val="000000"/>
          <w:sz w:val="31"/>
          <w:lang w:val="en-US" w:eastAsia="zh-CN"/>
        </w:rPr>
        <w:t>抚州</w:t>
      </w:r>
      <w:r>
        <w:rPr>
          <w:rFonts w:ascii="仿宋" w:hAnsi="仿宋" w:eastAsia="仿宋"/>
          <w:b w:val="0"/>
          <w:i w:val="0"/>
          <w:color w:val="000000"/>
          <w:sz w:val="31"/>
        </w:rPr>
        <w:t>、</w:t>
      </w:r>
      <w:r>
        <w:rPr>
          <w:rFonts w:hint="eastAsia" w:ascii="仿宋" w:hAnsi="仿宋" w:eastAsia="仿宋"/>
          <w:b w:val="0"/>
          <w:i w:val="0"/>
          <w:color w:val="000000"/>
          <w:sz w:val="31"/>
          <w:lang w:val="en-US" w:eastAsia="zh-CN"/>
        </w:rPr>
        <w:t>吉安、赣州</w:t>
      </w:r>
      <w:r>
        <w:rPr>
          <w:rFonts w:ascii="仿宋" w:hAnsi="仿宋" w:eastAsia="仿宋"/>
          <w:b w:val="0"/>
          <w:i w:val="0"/>
          <w:color w:val="000000"/>
          <w:sz w:val="31"/>
        </w:rPr>
        <w:t>等地均有</w:t>
      </w:r>
      <w:r>
        <w:rPr>
          <w:rFonts w:hint="eastAsia" w:ascii="仿宋" w:hAnsi="仿宋" w:eastAsia="仿宋"/>
          <w:b w:val="0"/>
          <w:i w:val="0"/>
          <w:color w:val="000000"/>
          <w:sz w:val="31"/>
          <w:lang w:val="en-US" w:eastAsia="zh-CN"/>
        </w:rPr>
        <w:t>脆木耳种植</w:t>
      </w:r>
      <w:r>
        <w:rPr>
          <w:rFonts w:ascii="仿宋" w:hAnsi="仿宋" w:eastAsia="仿宋"/>
          <w:b w:val="0"/>
          <w:i w:val="0"/>
          <w:color w:val="000000"/>
          <w:sz w:val="31"/>
        </w:rPr>
        <w:t>，年生产量</w:t>
      </w:r>
      <w:r>
        <w:rPr>
          <w:rFonts w:hint="eastAsia" w:ascii="仿宋" w:hAnsi="仿宋" w:eastAsia="仿宋"/>
          <w:b w:val="0"/>
          <w:i w:val="0"/>
          <w:color w:val="000000"/>
          <w:sz w:val="31"/>
          <w:lang w:val="en-US" w:eastAsia="zh-CN"/>
        </w:rPr>
        <w:t>过1000</w:t>
      </w:r>
      <w:r>
        <w:rPr>
          <w:rFonts w:ascii="仿宋" w:hAnsi="仿宋" w:eastAsia="仿宋"/>
          <w:b w:val="0"/>
          <w:i w:val="0"/>
          <w:color w:val="000000"/>
          <w:sz w:val="31"/>
        </w:rPr>
        <w:t>万袋。然而</w:t>
      </w:r>
      <w:r>
        <w:rPr>
          <w:rFonts w:hint="eastAsia" w:ascii="仿宋" w:hAnsi="仿宋" w:eastAsia="仿宋"/>
          <w:b w:val="0"/>
          <w:i w:val="0"/>
          <w:color w:val="000000"/>
          <w:sz w:val="31"/>
          <w:lang w:val="en-US" w:eastAsia="zh-CN"/>
        </w:rPr>
        <w:t>由于</w:t>
      </w:r>
      <w:r>
        <w:rPr>
          <w:rFonts w:ascii="仿宋" w:hAnsi="仿宋" w:eastAsia="仿宋"/>
          <w:b w:val="0"/>
          <w:i w:val="0"/>
          <w:color w:val="000000"/>
          <w:sz w:val="31"/>
        </w:rPr>
        <w:t>江西无</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生产技术规程，国内也没有相关的国家和行业标准，致使江西</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生产者在生产过程中技术标准不统一，产量不稳定，</w:t>
      </w:r>
      <w:r>
        <w:rPr>
          <w:rFonts w:hint="eastAsia" w:ascii="仿宋" w:hAnsi="仿宋" w:eastAsia="仿宋"/>
          <w:b w:val="0"/>
          <w:i w:val="0"/>
          <w:color w:val="000000"/>
          <w:sz w:val="31"/>
          <w:lang w:val="en-US" w:eastAsia="zh-CN"/>
        </w:rPr>
        <w:t>生产中还时发病虫害，</w:t>
      </w:r>
      <w:r>
        <w:rPr>
          <w:rFonts w:ascii="仿宋" w:hAnsi="仿宋" w:eastAsia="仿宋"/>
          <w:b w:val="0"/>
          <w:i w:val="0"/>
          <w:color w:val="000000"/>
          <w:sz w:val="31"/>
        </w:rPr>
        <w:t>因此，</w:t>
      </w:r>
      <w:r>
        <w:rPr>
          <w:rFonts w:hint="eastAsia" w:ascii="仿宋" w:hAnsi="仿宋" w:eastAsia="仿宋"/>
          <w:b w:val="0"/>
          <w:i w:val="0"/>
          <w:color w:val="000000"/>
          <w:sz w:val="31"/>
          <w:lang w:val="en-US" w:eastAsia="zh-CN"/>
        </w:rPr>
        <w:t>制定脆木耳生产技术规程对提高脆木耳产量与品质</w:t>
      </w:r>
      <w:r>
        <w:rPr>
          <w:rFonts w:ascii="仿宋" w:hAnsi="仿宋" w:eastAsia="仿宋"/>
          <w:b w:val="0"/>
          <w:i w:val="0"/>
          <w:color w:val="000000"/>
          <w:sz w:val="31"/>
        </w:rPr>
        <w:t>，</w:t>
      </w:r>
      <w:r>
        <w:rPr>
          <w:rFonts w:hint="eastAsia" w:ascii="仿宋" w:hAnsi="仿宋" w:eastAsia="仿宋"/>
          <w:b w:val="0"/>
          <w:i w:val="0"/>
          <w:color w:val="000000"/>
          <w:sz w:val="31"/>
          <w:lang w:val="en-US" w:eastAsia="zh-CN"/>
        </w:rPr>
        <w:t>实现其可持续和高质量发展均具</w:t>
      </w:r>
      <w:r>
        <w:rPr>
          <w:rFonts w:ascii="仿宋" w:hAnsi="仿宋" w:eastAsia="仿宋"/>
          <w:b w:val="0"/>
          <w:i w:val="0"/>
          <w:color w:val="000000"/>
          <w:sz w:val="31"/>
        </w:rPr>
        <w:t>有重要作用和意义。</w:t>
      </w:r>
    </w:p>
    <w:p>
      <w:pPr>
        <w:widowControl/>
        <w:numPr>
          <w:ilvl w:val="0"/>
          <w:numId w:val="0"/>
        </w:numPr>
        <w:tabs>
          <w:tab w:val="left" w:pos="640"/>
        </w:tabs>
        <w:autoSpaceDE w:val="0"/>
        <w:autoSpaceDN w:val="0"/>
        <w:spacing w:before="0" w:after="0" w:line="622" w:lineRule="exact"/>
        <w:ind w:left="616" w:leftChars="280" w:right="0" w:rightChars="0" w:firstLine="0" w:firstLineChars="0"/>
        <w:jc w:val="left"/>
        <w:rPr>
          <w:rFonts w:ascii="黑体" w:hAnsi="黑体" w:eastAsia="黑体"/>
          <w:b w:val="0"/>
          <w:i w:val="0"/>
          <w:color w:val="000000"/>
          <w:sz w:val="31"/>
        </w:rPr>
      </w:pPr>
      <w:r>
        <w:rPr>
          <w:rFonts w:hint="eastAsia" w:ascii="黑体" w:hAnsi="黑体" w:eastAsia="黑体" w:cstheme="minorBidi"/>
          <w:b w:val="0"/>
          <w:i w:val="0"/>
          <w:color w:val="000000"/>
          <w:sz w:val="31"/>
          <w:szCs w:val="22"/>
          <w:lang w:val="en-US" w:eastAsia="en-US" w:bidi="ar-SA"/>
        </w:rPr>
        <w:t>三、</w:t>
      </w:r>
      <w:r>
        <w:rPr>
          <w:rFonts w:ascii="黑体" w:hAnsi="黑体" w:eastAsia="黑体"/>
          <w:b w:val="0"/>
          <w:i w:val="0"/>
          <w:color w:val="000000"/>
          <w:sz w:val="31"/>
        </w:rPr>
        <w:t>主要起草过程</w:t>
      </w:r>
    </w:p>
    <w:p>
      <w:pPr>
        <w:widowControl/>
        <w:numPr>
          <w:ilvl w:val="0"/>
          <w:numId w:val="0"/>
        </w:numPr>
        <w:tabs>
          <w:tab w:val="left" w:pos="640"/>
        </w:tabs>
        <w:autoSpaceDE w:val="0"/>
        <w:autoSpaceDN w:val="0"/>
        <w:spacing w:before="0" w:after="0" w:line="622" w:lineRule="exact"/>
        <w:ind w:leftChars="280" w:right="0" w:rightChars="0"/>
        <w:jc w:val="left"/>
        <w:rPr>
          <w:rFonts w:ascii="楷体" w:hAnsi="楷体" w:eastAsia="楷体"/>
          <w:b/>
          <w:i w:val="0"/>
          <w:color w:val="000000"/>
          <w:sz w:val="31"/>
        </w:rPr>
      </w:pPr>
      <w:r>
        <w:rPr>
          <w:rFonts w:ascii="楷体" w:hAnsi="楷体" w:eastAsia="楷体"/>
          <w:b/>
          <w:i w:val="0"/>
          <w:color w:val="000000"/>
          <w:sz w:val="31"/>
        </w:rPr>
        <w:t>1.前期研究与示范</w:t>
      </w:r>
    </w:p>
    <w:p>
      <w:pPr>
        <w:widowControl/>
        <w:numPr>
          <w:ilvl w:val="0"/>
          <w:numId w:val="0"/>
        </w:numPr>
        <w:tabs>
          <w:tab w:val="left" w:pos="640"/>
        </w:tabs>
        <w:autoSpaceDE w:val="0"/>
        <w:autoSpaceDN w:val="0"/>
        <w:spacing w:before="0" w:after="0" w:line="622" w:lineRule="exact"/>
        <w:ind w:right="0" w:rightChars="0" w:firstLine="620" w:firstLineChars="200"/>
        <w:jc w:val="left"/>
        <w:rPr>
          <w:rFonts w:hint="default" w:ascii="仿宋" w:hAnsi="仿宋" w:eastAsia="仿宋"/>
          <w:b w:val="0"/>
          <w:i w:val="0"/>
          <w:color w:val="000000"/>
          <w:sz w:val="31"/>
          <w:lang w:val="en-US" w:eastAsia="zh-CN"/>
        </w:rPr>
      </w:pPr>
      <w:r>
        <w:rPr>
          <w:rFonts w:ascii="仿宋" w:hAnsi="仿宋" w:eastAsia="仿宋"/>
          <w:b w:val="0"/>
          <w:i w:val="0"/>
          <w:color w:val="000000"/>
          <w:sz w:val="31"/>
        </w:rPr>
        <w:t>自 201</w:t>
      </w:r>
      <w:r>
        <w:rPr>
          <w:rFonts w:hint="eastAsia" w:ascii="仿宋" w:hAnsi="仿宋" w:eastAsia="仿宋"/>
          <w:b w:val="0"/>
          <w:i w:val="0"/>
          <w:color w:val="000000"/>
          <w:sz w:val="31"/>
          <w:lang w:val="en-US" w:eastAsia="zh-CN"/>
        </w:rPr>
        <w:t>8</w:t>
      </w:r>
      <w:r>
        <w:rPr>
          <w:rFonts w:ascii="仿宋" w:hAnsi="仿宋" w:eastAsia="仿宋"/>
          <w:b w:val="0"/>
          <w:i w:val="0"/>
          <w:color w:val="000000"/>
          <w:sz w:val="31"/>
        </w:rPr>
        <w:t xml:space="preserve"> 年开始，</w:t>
      </w:r>
      <w:r>
        <w:rPr>
          <w:rFonts w:hint="eastAsia" w:ascii="仿宋" w:hAnsi="仿宋" w:eastAsia="仿宋"/>
          <w:b w:val="0"/>
          <w:i w:val="0"/>
          <w:color w:val="000000"/>
          <w:sz w:val="31"/>
          <w:lang w:val="en-US" w:eastAsia="zh-CN"/>
        </w:rPr>
        <w:t>本标准制定小组在江西省现代农业食用菌产业技术体系繁育岗专项的资助下，通过省内外野生食用菌种质资源的调查搜集，在广西发现脆木耳野生种质资源，历时七年技术攻关，先后破解了该种纯培养、种质退化、生物转化率低、出菇季节限制、遭雨水易腐烂、黄色链孢霉病害等系列产业化过程中的瓶颈问题，驯化出一株拥有自主知识产权可产业化生产的新品种赣脆木1号。</w:t>
      </w:r>
    </w:p>
    <w:p>
      <w:pPr>
        <w:widowControl/>
        <w:numPr>
          <w:ilvl w:val="0"/>
          <w:numId w:val="0"/>
        </w:numPr>
        <w:tabs>
          <w:tab w:val="left" w:pos="640"/>
        </w:tabs>
        <w:autoSpaceDE w:val="0"/>
        <w:autoSpaceDN w:val="0"/>
        <w:spacing w:before="0" w:after="0" w:line="622" w:lineRule="exact"/>
        <w:ind w:right="0" w:rightChars="0" w:firstLine="620" w:firstLineChars="200"/>
        <w:jc w:val="left"/>
        <w:rPr>
          <w:rFonts w:hint="default" w:ascii="仿宋" w:hAnsi="仿宋" w:eastAsia="仿宋"/>
          <w:b w:val="0"/>
          <w:i w:val="0"/>
          <w:color w:val="000000"/>
          <w:sz w:val="31"/>
          <w:lang w:val="en-US" w:eastAsia="zh-CN"/>
        </w:rPr>
      </w:pPr>
      <w:r>
        <w:rPr>
          <w:rFonts w:hint="eastAsia" w:ascii="仿宋" w:hAnsi="仿宋" w:eastAsia="仿宋"/>
          <w:b w:val="0"/>
          <w:i w:val="0"/>
          <w:color w:val="000000"/>
          <w:sz w:val="31"/>
          <w:lang w:val="en-US" w:eastAsia="zh-CN"/>
        </w:rPr>
        <w:t>该脆木耳先后在江西天和食用菌开发有限公司</w:t>
      </w:r>
      <w:r>
        <w:rPr>
          <w:rFonts w:ascii="仿宋" w:hAnsi="仿宋" w:eastAsia="仿宋"/>
          <w:b w:val="0"/>
          <w:i w:val="0"/>
          <w:color w:val="000000"/>
          <w:sz w:val="31"/>
        </w:rPr>
        <w:t>、</w:t>
      </w:r>
      <w:r>
        <w:rPr>
          <w:rFonts w:hint="eastAsia" w:ascii="仿宋" w:hAnsi="仿宋" w:eastAsia="仿宋"/>
          <w:b w:val="0"/>
          <w:i w:val="0"/>
          <w:color w:val="000000"/>
          <w:sz w:val="31"/>
          <w:lang w:val="en-US" w:eastAsia="zh-CN"/>
        </w:rPr>
        <w:t>抚州市利财食用菌科技有限公司</w:t>
      </w:r>
      <w:r>
        <w:rPr>
          <w:rFonts w:ascii="仿宋" w:hAnsi="仿宋" w:eastAsia="仿宋"/>
          <w:b w:val="0"/>
          <w:i w:val="0"/>
          <w:color w:val="000000"/>
          <w:sz w:val="31"/>
        </w:rPr>
        <w:t>等单位持续开展了生产示范</w:t>
      </w:r>
      <w:r>
        <w:rPr>
          <w:rFonts w:hint="eastAsia" w:ascii="仿宋" w:hAnsi="仿宋" w:eastAsia="仿宋"/>
          <w:b w:val="0"/>
          <w:i w:val="0"/>
          <w:color w:val="000000"/>
          <w:sz w:val="31"/>
          <w:lang w:val="en-US" w:eastAsia="zh-CN"/>
        </w:rPr>
        <w:t>并</w:t>
      </w:r>
      <w:r>
        <w:rPr>
          <w:rFonts w:ascii="仿宋" w:hAnsi="仿宋" w:eastAsia="仿宋"/>
          <w:b w:val="0"/>
          <w:i w:val="0"/>
          <w:color w:val="000000"/>
          <w:sz w:val="31"/>
        </w:rPr>
        <w:t>推广</w:t>
      </w:r>
      <w:r>
        <w:rPr>
          <w:rFonts w:hint="eastAsia" w:ascii="仿宋" w:hAnsi="仿宋" w:eastAsia="仿宋"/>
          <w:b w:val="0"/>
          <w:i w:val="0"/>
          <w:color w:val="000000"/>
          <w:sz w:val="31"/>
          <w:lang w:val="en-US" w:eastAsia="zh-CN"/>
        </w:rPr>
        <w:t>至吉安、赣州等地</w:t>
      </w:r>
      <w:r>
        <w:rPr>
          <w:rFonts w:ascii="仿宋" w:hAnsi="仿宋" w:eastAsia="仿宋"/>
          <w:b w:val="0"/>
          <w:i w:val="0"/>
          <w:color w:val="000000"/>
          <w:sz w:val="31"/>
        </w:rPr>
        <w:t>，验证了该生产技术的</w:t>
      </w:r>
      <w:r>
        <w:rPr>
          <w:rFonts w:hint="eastAsia" w:ascii="仿宋" w:hAnsi="仿宋" w:eastAsia="仿宋"/>
          <w:b w:val="0"/>
          <w:i w:val="0"/>
          <w:color w:val="000000"/>
          <w:sz w:val="31"/>
          <w:lang w:val="en-US" w:eastAsia="zh-CN"/>
        </w:rPr>
        <w:t>可</w:t>
      </w:r>
      <w:r>
        <w:rPr>
          <w:rFonts w:ascii="仿宋" w:hAnsi="仿宋" w:eastAsia="仿宋"/>
          <w:b w:val="0"/>
          <w:i w:val="0"/>
          <w:color w:val="000000"/>
          <w:sz w:val="31"/>
        </w:rPr>
        <w:t>操作性</w:t>
      </w:r>
      <w:r>
        <w:rPr>
          <w:rFonts w:hint="eastAsia" w:ascii="仿宋" w:hAnsi="仿宋" w:eastAsia="仿宋"/>
          <w:b w:val="0"/>
          <w:i w:val="0"/>
          <w:color w:val="000000"/>
          <w:sz w:val="31"/>
          <w:lang w:val="en-US" w:eastAsia="zh-CN"/>
        </w:rPr>
        <w:t>和</w:t>
      </w:r>
      <w:r>
        <w:rPr>
          <w:rFonts w:ascii="仿宋" w:hAnsi="仿宋" w:eastAsia="仿宋"/>
          <w:b w:val="0"/>
          <w:i w:val="0"/>
          <w:color w:val="000000"/>
          <w:sz w:val="31"/>
        </w:rPr>
        <w:t>适</w:t>
      </w:r>
      <w:r>
        <w:rPr>
          <w:rFonts w:hint="eastAsia" w:ascii="仿宋" w:hAnsi="仿宋" w:eastAsia="仿宋"/>
          <w:b w:val="0"/>
          <w:i w:val="0"/>
          <w:color w:val="000000"/>
          <w:sz w:val="31"/>
          <w:lang w:val="en-US" w:eastAsia="zh-CN"/>
        </w:rPr>
        <w:t>用</w:t>
      </w:r>
      <w:r>
        <w:rPr>
          <w:rFonts w:ascii="仿宋" w:hAnsi="仿宋" w:eastAsia="仿宋"/>
          <w:b w:val="0"/>
          <w:i w:val="0"/>
          <w:color w:val="000000"/>
          <w:sz w:val="31"/>
        </w:rPr>
        <w:t>性。</w:t>
      </w:r>
      <w:r>
        <w:rPr>
          <w:rFonts w:hint="eastAsia" w:ascii="仿宋" w:hAnsi="仿宋" w:eastAsia="仿宋"/>
          <w:b w:val="0"/>
          <w:i w:val="0"/>
          <w:color w:val="000000"/>
          <w:sz w:val="31"/>
          <w:lang w:val="en-US" w:eastAsia="zh-CN"/>
        </w:rPr>
        <w:t>该品种可实现亚热带地区自然气候条件下春、夏、秋三季栽培，所产耳片薄脆爽糯、营养价值甚高，已显示出强劲的经济增长态势。</w:t>
      </w:r>
    </w:p>
    <w:p>
      <w:pPr>
        <w:widowControl/>
        <w:autoSpaceDE w:val="0"/>
        <w:autoSpaceDN w:val="0"/>
        <w:spacing w:before="0" w:after="0" w:line="622" w:lineRule="exact"/>
        <w:ind w:left="0" w:right="20" w:firstLine="640"/>
        <w:jc w:val="both"/>
      </w:pPr>
    </w:p>
    <w:p>
      <w:pPr>
        <w:widowControl/>
        <w:autoSpaceDE w:val="0"/>
        <w:autoSpaceDN w:val="0"/>
        <w:spacing w:before="284" w:after="0" w:line="320" w:lineRule="exact"/>
        <w:ind w:left="640" w:right="0" w:firstLine="0"/>
        <w:jc w:val="left"/>
      </w:pPr>
      <w:r>
        <w:rPr>
          <w:rFonts w:ascii="楷体" w:hAnsi="楷体" w:eastAsia="楷体"/>
          <w:b/>
          <w:i w:val="0"/>
          <w:color w:val="000000"/>
          <w:sz w:val="31"/>
        </w:rPr>
        <w:t>2.成立标准编写小组</w:t>
      </w:r>
    </w:p>
    <w:p>
      <w:pPr>
        <w:widowControl/>
        <w:autoSpaceDE w:val="0"/>
        <w:autoSpaceDN w:val="0"/>
        <w:spacing w:before="0" w:after="0" w:line="522" w:lineRule="exact"/>
        <w:ind w:left="0" w:right="20" w:firstLine="640"/>
        <w:jc w:val="both"/>
      </w:pPr>
      <w:r>
        <w:rPr>
          <w:rFonts w:ascii="仿宋" w:hAnsi="仿宋" w:eastAsia="仿宋"/>
          <w:b w:val="0"/>
          <w:i w:val="0"/>
          <w:color w:val="000000"/>
          <w:sz w:val="31"/>
        </w:rPr>
        <w:t>成立《</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生产技术规程》标准编写小组，由</w:t>
      </w:r>
      <w:r>
        <w:rPr>
          <w:rFonts w:hint="eastAsia" w:ascii="仿宋" w:hAnsi="仿宋" w:eastAsia="仿宋"/>
          <w:b w:val="0"/>
          <w:i w:val="0"/>
          <w:color w:val="000000"/>
          <w:sz w:val="31"/>
          <w:lang w:val="en-US" w:eastAsia="zh-CN"/>
        </w:rPr>
        <w:t>霍光华</w:t>
      </w:r>
      <w:r>
        <w:rPr>
          <w:rFonts w:ascii="仿宋" w:hAnsi="仿宋" w:eastAsia="仿宋"/>
          <w:b w:val="0"/>
          <w:i w:val="0"/>
          <w:color w:val="000000"/>
          <w:sz w:val="31"/>
        </w:rPr>
        <w:t>为组长，</w:t>
      </w:r>
      <w:r>
        <w:rPr>
          <w:rFonts w:hint="eastAsia" w:ascii="仿宋" w:hAnsi="仿宋" w:eastAsia="仿宋"/>
          <w:b w:val="0"/>
          <w:i w:val="0"/>
          <w:color w:val="000000"/>
          <w:sz w:val="31"/>
          <w:lang w:val="en-US" w:eastAsia="zh-CN"/>
        </w:rPr>
        <w:t>吴京城、章文浩、谢远财、颜俊清、崔朝宇、霍达、吴磊燕、胡殿明、龙昊知</w:t>
      </w:r>
      <w:r>
        <w:rPr>
          <w:rFonts w:ascii="仿宋" w:hAnsi="仿宋" w:eastAsia="仿宋"/>
          <w:b w:val="0"/>
          <w:i w:val="0"/>
          <w:color w:val="000000"/>
          <w:sz w:val="31"/>
        </w:rPr>
        <w:t>为组员，共同编制该技术规程。</w:t>
      </w:r>
    </w:p>
    <w:p>
      <w:pPr>
        <w:widowControl/>
        <w:numPr>
          <w:ilvl w:val="0"/>
          <w:numId w:val="0"/>
        </w:numPr>
        <w:tabs>
          <w:tab w:val="left" w:pos="640"/>
        </w:tabs>
        <w:autoSpaceDE w:val="0"/>
        <w:autoSpaceDN w:val="0"/>
        <w:spacing w:before="0" w:after="0" w:line="622" w:lineRule="exact"/>
        <w:ind w:right="0" w:rightChars="0" w:firstLine="620" w:firstLineChars="200"/>
        <w:jc w:val="left"/>
        <w:rPr>
          <w:rFonts w:ascii="黑体" w:hAnsi="黑体" w:eastAsia="黑体"/>
          <w:b w:val="0"/>
          <w:i w:val="0"/>
          <w:color w:val="000000"/>
          <w:sz w:val="31"/>
        </w:rPr>
      </w:pPr>
      <w:r>
        <w:rPr>
          <w:rFonts w:hint="eastAsia" w:ascii="黑体" w:hAnsi="黑体" w:eastAsia="黑体" w:cstheme="minorBidi"/>
          <w:b w:val="0"/>
          <w:i w:val="0"/>
          <w:color w:val="000000"/>
          <w:sz w:val="31"/>
          <w:szCs w:val="22"/>
          <w:lang w:val="en-US" w:eastAsia="en-US" w:bidi="ar-SA"/>
        </w:rPr>
        <w:t>四、</w:t>
      </w:r>
      <w:r>
        <w:rPr>
          <w:rFonts w:ascii="黑体" w:hAnsi="黑体" w:eastAsia="黑体"/>
          <w:b w:val="0"/>
          <w:i w:val="0"/>
          <w:color w:val="000000"/>
          <w:sz w:val="31"/>
        </w:rPr>
        <w:t>制定（修订）标准的原则和依据，与现行法律、</w:t>
      </w:r>
      <w:r>
        <w:rPr>
          <w:rFonts w:hint="eastAsia" w:ascii="黑体" w:hAnsi="黑体" w:eastAsia="黑体"/>
          <w:b w:val="0"/>
          <w:i w:val="0"/>
          <w:color w:val="000000"/>
          <w:sz w:val="31"/>
          <w:lang w:val="en-US" w:eastAsia="zh-CN"/>
        </w:rPr>
        <w:t>法规、</w:t>
      </w:r>
      <w:r>
        <w:rPr>
          <w:rFonts w:ascii="黑体" w:hAnsi="黑体" w:eastAsia="黑体"/>
          <w:b w:val="0"/>
          <w:i w:val="0"/>
          <w:color w:val="000000"/>
          <w:sz w:val="31"/>
        </w:rPr>
        <w:t>标准的关系</w:t>
      </w:r>
    </w:p>
    <w:p>
      <w:pPr>
        <w:widowControl/>
        <w:numPr>
          <w:ilvl w:val="0"/>
          <w:numId w:val="0"/>
        </w:numPr>
        <w:tabs>
          <w:tab w:val="left" w:pos="640"/>
        </w:tabs>
        <w:autoSpaceDE w:val="0"/>
        <w:autoSpaceDN w:val="0"/>
        <w:spacing w:before="0" w:after="0" w:line="622" w:lineRule="exact"/>
        <w:ind w:leftChars="280" w:right="144" w:rightChars="0"/>
        <w:jc w:val="left"/>
        <w:rPr>
          <w:rFonts w:ascii="楷体" w:hAnsi="楷体" w:eastAsia="楷体"/>
          <w:b/>
          <w:i w:val="0"/>
          <w:color w:val="000000"/>
          <w:sz w:val="31"/>
        </w:rPr>
      </w:pPr>
      <w:r>
        <w:rPr>
          <w:rFonts w:ascii="楷体" w:hAnsi="楷体" w:eastAsia="楷体"/>
          <w:b/>
          <w:i w:val="0"/>
          <w:color w:val="000000"/>
          <w:sz w:val="31"/>
        </w:rPr>
        <w:t>1.制定（修订）标准的原则</w:t>
      </w:r>
    </w:p>
    <w:p>
      <w:pPr>
        <w:widowControl/>
        <w:numPr>
          <w:ilvl w:val="0"/>
          <w:numId w:val="0"/>
        </w:numPr>
        <w:tabs>
          <w:tab w:val="left" w:pos="640"/>
        </w:tabs>
        <w:autoSpaceDE w:val="0"/>
        <w:autoSpaceDN w:val="0"/>
        <w:spacing w:before="0" w:after="0" w:line="622" w:lineRule="exact"/>
        <w:ind w:right="144" w:rightChars="0" w:firstLine="620" w:firstLineChars="200"/>
        <w:jc w:val="left"/>
      </w:pPr>
      <w:r>
        <w:rPr>
          <w:rFonts w:ascii="仿宋" w:hAnsi="仿宋" w:eastAsia="仿宋"/>
          <w:b w:val="0"/>
          <w:i w:val="0"/>
          <w:color w:val="000000"/>
          <w:sz w:val="31"/>
        </w:rPr>
        <w:t>本标准遵循“针对性、先进性、实用性、统一性、规范性”的原则，尽可能与国内外领先标准接轨，注重了标准的可操作性，严格按 GB/T 1.1-2020 的最新版本的要求进行编写。</w:t>
      </w:r>
    </w:p>
    <w:p>
      <w:pPr>
        <w:widowControl/>
        <w:tabs>
          <w:tab w:val="left" w:pos="640"/>
        </w:tabs>
        <w:autoSpaceDE w:val="0"/>
        <w:autoSpaceDN w:val="0"/>
        <w:spacing w:before="0" w:after="0" w:line="622" w:lineRule="exact"/>
        <w:ind w:left="0" w:right="144" w:firstLine="622" w:firstLineChars="200"/>
        <w:jc w:val="left"/>
        <w:rPr>
          <w:rFonts w:ascii="楷体" w:hAnsi="楷体" w:eastAsia="楷体"/>
          <w:b/>
          <w:i w:val="0"/>
          <w:color w:val="000000"/>
          <w:sz w:val="31"/>
        </w:rPr>
      </w:pPr>
      <w:r>
        <w:rPr>
          <w:rFonts w:ascii="楷体" w:hAnsi="楷体" w:eastAsia="楷体"/>
          <w:b/>
          <w:i w:val="0"/>
          <w:color w:val="000000"/>
          <w:sz w:val="31"/>
        </w:rPr>
        <w:t>2.制定标准主要内容依据</w:t>
      </w:r>
    </w:p>
    <w:p>
      <w:pPr>
        <w:pStyle w:val="164"/>
        <w:keepNext w:val="0"/>
        <w:keepLines w:val="0"/>
        <w:pageBreakBefore w:val="0"/>
        <w:widowControl/>
        <w:kinsoku/>
        <w:wordWrap/>
        <w:overflowPunct/>
        <w:topLinePunct w:val="0"/>
        <w:autoSpaceDE w:val="0"/>
        <w:autoSpaceDN w:val="0"/>
        <w:bidi w:val="0"/>
        <w:adjustRightInd/>
        <w:snapToGrid/>
        <w:spacing w:line="620" w:lineRule="exact"/>
        <w:ind w:firstLine="420"/>
        <w:textAlignment w:val="auto"/>
        <w:rPr>
          <w:rFonts w:hint="eastAsia" w:ascii="仿宋" w:hAnsi="仿宋" w:eastAsia="仿宋" w:cstheme="minorBidi"/>
          <w:b w:val="0"/>
          <w:i w:val="0"/>
          <w:color w:val="000000"/>
          <w:sz w:val="31"/>
          <w:szCs w:val="22"/>
          <w:lang w:val="en-US" w:eastAsia="zh-CN" w:bidi="ar-SA"/>
        </w:rPr>
      </w:pPr>
      <w:r>
        <w:rPr>
          <w:rFonts w:ascii="仿宋" w:hAnsi="仿宋" w:eastAsia="仿宋" w:cstheme="minorBidi"/>
          <w:b w:val="0"/>
          <w:i w:val="0"/>
          <w:color w:val="000000"/>
          <w:sz w:val="31"/>
          <w:szCs w:val="22"/>
          <w:lang w:val="en-US" w:eastAsia="en-US" w:bidi="ar-SA"/>
        </w:rPr>
        <w:t xml:space="preserve">本标准编写过程中根据需要引用了 </w:t>
      </w:r>
      <w:r>
        <w:rPr>
          <w:rFonts w:hint="default" w:ascii="仿宋" w:hAnsi="仿宋" w:eastAsia="仿宋" w:cstheme="minorBidi"/>
          <w:b w:val="0"/>
          <w:i w:val="0"/>
          <w:color w:val="000000"/>
          <w:sz w:val="31"/>
          <w:szCs w:val="22"/>
          <w:lang w:val="en-US" w:eastAsia="zh-CN" w:bidi="ar-SA"/>
        </w:rPr>
        <w:t xml:space="preserve">GB 4806.7 </w:t>
      </w:r>
      <w:r>
        <w:rPr>
          <w:rFonts w:hint="eastAsia" w:ascii="仿宋" w:hAnsi="仿宋" w:eastAsia="仿宋" w:cstheme="minorBidi"/>
          <w:b w:val="0"/>
          <w:i w:val="0"/>
          <w:color w:val="000000"/>
          <w:sz w:val="31"/>
          <w:szCs w:val="22"/>
          <w:lang w:val="en-US" w:eastAsia="zh-CN" w:bidi="ar-SA"/>
        </w:rPr>
        <w:t>食品安全国家标准 食品接触用塑料材料及制品</w:t>
      </w:r>
      <w:r>
        <w:rPr>
          <w:rFonts w:ascii="仿宋" w:hAnsi="仿宋" w:eastAsia="仿宋" w:cstheme="minorBidi"/>
          <w:b w:val="0"/>
          <w:i w:val="0"/>
          <w:color w:val="000000"/>
          <w:sz w:val="31"/>
          <w:szCs w:val="22"/>
          <w:lang w:val="en-US" w:eastAsia="en-US" w:bidi="ar-SA"/>
        </w:rPr>
        <w:t>、</w:t>
      </w:r>
      <w:r>
        <w:rPr>
          <w:rFonts w:hint="default" w:ascii="仿宋" w:hAnsi="仿宋" w:eastAsia="仿宋" w:cstheme="minorBidi"/>
          <w:b w:val="0"/>
          <w:i w:val="0"/>
          <w:color w:val="000000"/>
          <w:sz w:val="31"/>
          <w:szCs w:val="22"/>
          <w:lang w:val="en-US" w:eastAsia="zh-CN" w:bidi="ar-SA"/>
        </w:rPr>
        <w:t xml:space="preserve">GB 5749 </w:t>
      </w:r>
      <w:r>
        <w:rPr>
          <w:rFonts w:hint="eastAsia" w:ascii="仿宋" w:hAnsi="仿宋" w:eastAsia="仿宋" w:cstheme="minorBidi"/>
          <w:b w:val="0"/>
          <w:i w:val="0"/>
          <w:color w:val="000000"/>
          <w:sz w:val="31"/>
          <w:szCs w:val="22"/>
          <w:lang w:val="en-US" w:eastAsia="zh-CN" w:bidi="ar-SA"/>
        </w:rPr>
        <w:t>生活饮用水卫生标准、</w:t>
      </w:r>
      <w:r>
        <w:rPr>
          <w:rFonts w:hint="default" w:ascii="仿宋" w:hAnsi="仿宋" w:eastAsia="仿宋" w:cstheme="minorBidi"/>
          <w:b w:val="0"/>
          <w:i w:val="0"/>
          <w:color w:val="000000"/>
          <w:sz w:val="31"/>
          <w:szCs w:val="22"/>
          <w:lang w:val="en-US" w:eastAsia="zh-CN" w:bidi="ar-SA"/>
        </w:rPr>
        <w:t xml:space="preserve">GB/T 12728 </w:t>
      </w:r>
      <w:r>
        <w:rPr>
          <w:rFonts w:hint="eastAsia" w:ascii="仿宋" w:hAnsi="仿宋" w:eastAsia="仿宋" w:cstheme="minorBidi"/>
          <w:b w:val="0"/>
          <w:i w:val="0"/>
          <w:color w:val="000000"/>
          <w:sz w:val="31"/>
          <w:szCs w:val="22"/>
          <w:lang w:val="en-US" w:eastAsia="zh-CN" w:bidi="ar-SA"/>
        </w:rPr>
        <w:t>食用菌术语</w:t>
      </w:r>
      <w:r>
        <w:rPr>
          <w:rFonts w:hint="default" w:ascii="仿宋" w:hAnsi="仿宋" w:eastAsia="仿宋" w:cstheme="minorBidi"/>
          <w:b w:val="0"/>
          <w:i w:val="0"/>
          <w:color w:val="000000"/>
          <w:sz w:val="31"/>
          <w:szCs w:val="22"/>
          <w:lang w:val="en-US" w:eastAsia="zh-CN" w:bidi="ar-SA"/>
        </w:rPr>
        <w:t>NY/T 119 饲料用小麦麸皮</w:t>
      </w:r>
      <w:r>
        <w:rPr>
          <w:rFonts w:ascii="仿宋" w:hAnsi="仿宋" w:eastAsia="仿宋" w:cstheme="minorBidi"/>
          <w:b w:val="0"/>
          <w:i w:val="0"/>
          <w:color w:val="000000"/>
          <w:sz w:val="31"/>
          <w:szCs w:val="22"/>
          <w:lang w:val="en-US" w:eastAsia="en-US" w:bidi="ar-SA"/>
        </w:rPr>
        <w:t>、、NY/T 391 绿色食品产地环境质量、</w:t>
      </w:r>
      <w:r>
        <w:rPr>
          <w:rFonts w:hint="default" w:ascii="仿宋" w:hAnsi="仿宋" w:eastAsia="仿宋" w:cstheme="minorBidi"/>
          <w:b w:val="0"/>
          <w:i w:val="0"/>
          <w:color w:val="000000"/>
          <w:sz w:val="31"/>
          <w:szCs w:val="22"/>
          <w:lang w:val="en-US" w:eastAsia="zh-CN" w:bidi="ar-SA"/>
        </w:rPr>
        <w:t xml:space="preserve">NY/T 528 </w:t>
      </w:r>
      <w:r>
        <w:rPr>
          <w:rFonts w:hint="eastAsia" w:ascii="仿宋" w:hAnsi="仿宋" w:eastAsia="仿宋" w:cstheme="minorBidi"/>
          <w:b w:val="0"/>
          <w:i w:val="0"/>
          <w:color w:val="000000"/>
          <w:sz w:val="31"/>
          <w:szCs w:val="22"/>
          <w:lang w:val="en-US" w:eastAsia="zh-CN" w:bidi="ar-SA"/>
        </w:rPr>
        <w:t>食用菌菌种生产技术规程</w:t>
      </w:r>
      <w:r>
        <w:rPr>
          <w:rFonts w:ascii="仿宋" w:hAnsi="仿宋" w:eastAsia="仿宋" w:cstheme="minorBidi"/>
          <w:b w:val="0"/>
          <w:i w:val="0"/>
          <w:color w:val="000000"/>
          <w:sz w:val="31"/>
          <w:szCs w:val="22"/>
          <w:lang w:val="en-US" w:eastAsia="en-US" w:bidi="ar-SA"/>
        </w:rPr>
        <w:t>、</w:t>
      </w:r>
      <w:r>
        <w:rPr>
          <w:rFonts w:hint="default" w:ascii="仿宋" w:hAnsi="仿宋" w:eastAsia="仿宋" w:cstheme="minorBidi"/>
          <w:b w:val="0"/>
          <w:i w:val="0"/>
          <w:color w:val="000000"/>
          <w:sz w:val="31"/>
          <w:szCs w:val="22"/>
          <w:lang w:val="en-US" w:eastAsia="zh-CN" w:bidi="ar-SA"/>
        </w:rPr>
        <w:t xml:space="preserve">NY/T 1276 </w:t>
      </w:r>
      <w:r>
        <w:rPr>
          <w:rFonts w:hint="eastAsia" w:ascii="仿宋" w:hAnsi="仿宋" w:eastAsia="仿宋" w:cstheme="minorBidi"/>
          <w:b w:val="0"/>
          <w:i w:val="0"/>
          <w:color w:val="000000"/>
          <w:sz w:val="31"/>
          <w:szCs w:val="22"/>
          <w:lang w:val="en-US" w:eastAsia="zh-CN" w:bidi="ar-SA"/>
        </w:rPr>
        <w:t>农药安全使用规范总则、</w:t>
      </w:r>
      <w:r>
        <w:rPr>
          <w:rFonts w:hint="default" w:ascii="仿宋" w:hAnsi="仿宋" w:eastAsia="仿宋" w:cstheme="minorBidi"/>
          <w:b w:val="0"/>
          <w:i w:val="0"/>
          <w:color w:val="000000"/>
          <w:sz w:val="31"/>
          <w:szCs w:val="22"/>
          <w:lang w:val="en-US" w:eastAsia="zh-CN" w:bidi="ar-SA"/>
        </w:rPr>
        <w:t>NY/T</w:t>
      </w:r>
      <w:r>
        <w:rPr>
          <w:rFonts w:hint="eastAsia" w:ascii="仿宋" w:hAnsi="仿宋" w:eastAsia="仿宋" w:cstheme="minorBidi"/>
          <w:b w:val="0"/>
          <w:i w:val="0"/>
          <w:color w:val="000000"/>
          <w:sz w:val="31"/>
          <w:szCs w:val="22"/>
          <w:lang w:val="en-US" w:eastAsia="zh-CN" w:bidi="ar-SA"/>
        </w:rPr>
        <w:t xml:space="preserve"> 1935 食用菌栽培基质质量安全要求、</w:t>
      </w:r>
      <w:r>
        <w:rPr>
          <w:rFonts w:hint="default" w:ascii="仿宋" w:hAnsi="仿宋" w:eastAsia="仿宋" w:cstheme="minorBidi"/>
          <w:b w:val="0"/>
          <w:i w:val="0"/>
          <w:color w:val="000000"/>
          <w:sz w:val="31"/>
          <w:szCs w:val="22"/>
          <w:lang w:val="en-US" w:eastAsia="zh-CN" w:bidi="ar-SA"/>
        </w:rPr>
        <w:t xml:space="preserve">NY/T 2375 </w:t>
      </w:r>
      <w:r>
        <w:rPr>
          <w:rFonts w:hint="eastAsia" w:ascii="仿宋" w:hAnsi="仿宋" w:eastAsia="仿宋" w:cstheme="minorBidi"/>
          <w:b w:val="0"/>
          <w:i w:val="0"/>
          <w:color w:val="000000"/>
          <w:sz w:val="31"/>
          <w:szCs w:val="22"/>
          <w:lang w:val="en-US" w:eastAsia="zh-CN" w:bidi="ar-SA"/>
        </w:rPr>
        <w:t>食用菌生产技术规范。</w:t>
      </w:r>
    </w:p>
    <w:p>
      <w:pPr>
        <w:widowControl/>
        <w:autoSpaceDE w:val="0"/>
        <w:autoSpaceDN w:val="0"/>
        <w:spacing w:before="0" w:after="0" w:line="614" w:lineRule="exact"/>
        <w:ind w:left="640" w:right="144" w:firstLine="0"/>
        <w:jc w:val="left"/>
        <w:rPr>
          <w:rFonts w:ascii="楷体" w:hAnsi="楷体" w:eastAsia="楷体"/>
          <w:b/>
          <w:i w:val="0"/>
          <w:color w:val="000000"/>
          <w:sz w:val="31"/>
        </w:rPr>
      </w:pPr>
      <w:r>
        <w:rPr>
          <w:rFonts w:ascii="楷体" w:hAnsi="楷体" w:eastAsia="楷体"/>
          <w:b/>
          <w:i w:val="0"/>
          <w:color w:val="000000"/>
          <w:sz w:val="31"/>
        </w:rPr>
        <w:t xml:space="preserve">3.与现行法律、法规、标准的关系 </w:t>
      </w:r>
    </w:p>
    <w:p>
      <w:pPr>
        <w:widowControl/>
        <w:tabs>
          <w:tab w:val="left" w:pos="640"/>
        </w:tabs>
        <w:autoSpaceDE w:val="0"/>
        <w:autoSpaceDN w:val="0"/>
        <w:spacing w:before="0" w:after="0" w:line="622" w:lineRule="exact"/>
        <w:ind w:left="0" w:right="144" w:firstLine="620" w:firstLineChars="200"/>
        <w:jc w:val="left"/>
        <w:rPr>
          <w:rFonts w:ascii="仿宋" w:hAnsi="仿宋" w:eastAsia="仿宋"/>
          <w:b w:val="0"/>
          <w:i w:val="0"/>
          <w:color w:val="000000"/>
          <w:sz w:val="31"/>
        </w:rPr>
      </w:pPr>
      <w:r>
        <w:rPr>
          <w:rFonts w:ascii="仿宋" w:hAnsi="仿宋" w:eastAsia="仿宋"/>
          <w:b w:val="0"/>
          <w:i w:val="0"/>
          <w:color w:val="000000"/>
          <w:sz w:val="31"/>
        </w:rPr>
        <w:t>经广泛调研和多方面征求意见建议，本标准有关技术要求、技术方法、性能指标等符合现行法律、法规</w:t>
      </w:r>
      <w:r>
        <w:rPr>
          <w:rFonts w:hint="eastAsia" w:ascii="仿宋" w:hAnsi="仿宋" w:eastAsia="仿宋"/>
          <w:b w:val="0"/>
          <w:i w:val="0"/>
          <w:color w:val="000000"/>
          <w:sz w:val="31"/>
          <w:lang w:eastAsia="zh-CN"/>
        </w:rPr>
        <w:t>，</w:t>
      </w:r>
      <w:r>
        <w:rPr>
          <w:rFonts w:hint="eastAsia" w:ascii="仿宋" w:hAnsi="仿宋" w:eastAsia="仿宋"/>
          <w:b w:val="0"/>
          <w:i w:val="0"/>
          <w:color w:val="000000"/>
          <w:sz w:val="31"/>
          <w:lang w:val="en-US" w:eastAsia="zh-CN"/>
        </w:rPr>
        <w:t>并与</w:t>
      </w:r>
      <w:r>
        <w:rPr>
          <w:rFonts w:ascii="仿宋" w:hAnsi="仿宋" w:eastAsia="仿宋"/>
          <w:b w:val="0"/>
          <w:i w:val="0"/>
          <w:color w:val="000000"/>
          <w:sz w:val="31"/>
        </w:rPr>
        <w:t>有关强制性标准要求具有一致性。</w:t>
      </w:r>
    </w:p>
    <w:p>
      <w:pPr>
        <w:widowControl/>
        <w:tabs>
          <w:tab w:val="left" w:pos="640"/>
        </w:tabs>
        <w:autoSpaceDE w:val="0"/>
        <w:autoSpaceDN w:val="0"/>
        <w:spacing w:before="0" w:after="0" w:line="620" w:lineRule="exact"/>
        <w:ind w:left="0" w:right="0" w:firstLine="620" w:firstLineChars="200"/>
        <w:jc w:val="left"/>
        <w:rPr>
          <w:rFonts w:ascii="黑体" w:hAnsi="黑体" w:eastAsia="黑体"/>
          <w:b w:val="0"/>
          <w:i w:val="0"/>
          <w:color w:val="000000"/>
          <w:sz w:val="31"/>
        </w:rPr>
      </w:pPr>
      <w:r>
        <w:rPr>
          <w:rFonts w:ascii="黑体" w:hAnsi="黑体" w:eastAsia="黑体"/>
          <w:b w:val="0"/>
          <w:i w:val="0"/>
          <w:color w:val="000000"/>
          <w:sz w:val="31"/>
        </w:rPr>
        <w:t>五、主要条款的说明</w:t>
      </w:r>
    </w:p>
    <w:p>
      <w:pPr>
        <w:widowControl/>
        <w:tabs>
          <w:tab w:val="left" w:pos="640"/>
        </w:tabs>
        <w:autoSpaceDE w:val="0"/>
        <w:autoSpaceDN w:val="0"/>
        <w:spacing w:before="0" w:after="0" w:line="620" w:lineRule="exact"/>
        <w:ind w:left="0" w:right="0" w:firstLine="622" w:firstLineChars="200"/>
        <w:jc w:val="left"/>
        <w:rPr>
          <w:rFonts w:ascii="楷体" w:hAnsi="楷体" w:eastAsia="楷体"/>
          <w:b/>
          <w:i w:val="0"/>
          <w:color w:val="000000"/>
          <w:sz w:val="31"/>
        </w:rPr>
      </w:pPr>
      <w:r>
        <w:rPr>
          <w:rFonts w:ascii="楷体" w:hAnsi="楷体" w:eastAsia="楷体"/>
          <w:b/>
          <w:i w:val="0"/>
          <w:color w:val="000000"/>
          <w:sz w:val="31"/>
        </w:rPr>
        <w:t>1.范围</w:t>
      </w:r>
    </w:p>
    <w:p>
      <w:pPr>
        <w:widowControl/>
        <w:tabs>
          <w:tab w:val="left" w:pos="640"/>
        </w:tabs>
        <w:autoSpaceDE w:val="0"/>
        <w:autoSpaceDN w:val="0"/>
        <w:spacing w:before="0" w:after="0" w:line="620" w:lineRule="exact"/>
        <w:ind w:left="0" w:right="0" w:firstLine="620" w:firstLineChars="200"/>
        <w:jc w:val="left"/>
        <w:rPr>
          <w:rFonts w:hint="eastAsia" w:ascii="仿宋" w:hAnsi="仿宋" w:eastAsia="仿宋"/>
          <w:b w:val="0"/>
          <w:i w:val="0"/>
          <w:color w:val="000000"/>
          <w:sz w:val="31"/>
          <w:lang w:val="en-US" w:eastAsia="zh-CN"/>
        </w:rPr>
      </w:pPr>
      <w:r>
        <w:rPr>
          <w:rFonts w:ascii="仿宋" w:hAnsi="仿宋" w:eastAsia="仿宋"/>
          <w:b w:val="0"/>
          <w:i w:val="0"/>
          <w:color w:val="000000"/>
          <w:sz w:val="31"/>
        </w:rPr>
        <w:t>本</w:t>
      </w:r>
      <w:r>
        <w:rPr>
          <w:rFonts w:hint="eastAsia" w:ascii="仿宋" w:hAnsi="仿宋" w:eastAsia="仿宋"/>
          <w:b w:val="0"/>
          <w:i w:val="0"/>
          <w:color w:val="000000"/>
          <w:sz w:val="31"/>
          <w:lang w:val="en-US" w:eastAsia="zh-CN"/>
        </w:rPr>
        <w:t>标准规定了脆木耳生产技术规程的术语和定义、生产季节、栽培原料、菌袋制作、催芽育耳、采收和干制贮藏、病虫害防控。</w:t>
      </w:r>
    </w:p>
    <w:p>
      <w:pPr>
        <w:widowControl/>
        <w:tabs>
          <w:tab w:val="left" w:pos="640"/>
        </w:tabs>
        <w:autoSpaceDE w:val="0"/>
        <w:autoSpaceDN w:val="0"/>
        <w:spacing w:before="0" w:after="0" w:line="620" w:lineRule="exact"/>
        <w:ind w:left="0" w:right="0" w:firstLine="620" w:firstLineChars="200"/>
        <w:jc w:val="left"/>
        <w:rPr>
          <w:rFonts w:ascii="仿宋" w:hAnsi="仿宋" w:eastAsia="仿宋"/>
          <w:b w:val="0"/>
          <w:i w:val="0"/>
          <w:color w:val="000000"/>
          <w:sz w:val="31"/>
        </w:rPr>
      </w:pPr>
      <w:r>
        <w:rPr>
          <w:rFonts w:ascii="仿宋" w:hAnsi="仿宋" w:eastAsia="仿宋"/>
          <w:b w:val="0"/>
          <w:i w:val="0"/>
          <w:color w:val="000000"/>
          <w:sz w:val="31"/>
        </w:rPr>
        <w:t>本</w:t>
      </w:r>
      <w:r>
        <w:rPr>
          <w:rFonts w:hint="eastAsia" w:ascii="仿宋" w:hAnsi="仿宋" w:eastAsia="仿宋"/>
          <w:b w:val="0"/>
          <w:i w:val="0"/>
          <w:color w:val="000000"/>
          <w:sz w:val="31"/>
          <w:lang w:val="en-US" w:eastAsia="zh-CN"/>
        </w:rPr>
        <w:t>标准适用于江西省区域自然季节下脆木耳（</w:t>
      </w:r>
      <w:r>
        <w:rPr>
          <w:rFonts w:hint="default" w:ascii="Times New Roman" w:hAnsi="Times New Roman" w:eastAsia="仿宋" w:cs="Times New Roman"/>
          <w:b w:val="0"/>
          <w:i/>
          <w:iCs/>
          <w:color w:val="000000"/>
          <w:sz w:val="31"/>
          <w:lang w:val="en-US" w:eastAsia="zh-CN"/>
        </w:rPr>
        <w:t>Auricularia fibrillifera</w:t>
      </w:r>
      <w:r>
        <w:rPr>
          <w:rFonts w:hint="eastAsia" w:ascii="仿宋" w:hAnsi="仿宋" w:eastAsia="仿宋"/>
          <w:b w:val="0"/>
          <w:i w:val="0"/>
          <w:color w:val="000000"/>
          <w:sz w:val="31"/>
          <w:lang w:val="en-US" w:eastAsia="zh-CN"/>
        </w:rPr>
        <w:t>）人工袋料栽</w:t>
      </w:r>
      <w:r>
        <w:rPr>
          <w:rFonts w:ascii="仿宋" w:hAnsi="仿宋" w:eastAsia="仿宋"/>
          <w:b w:val="0"/>
          <w:i w:val="0"/>
          <w:color w:val="000000"/>
          <w:sz w:val="31"/>
        </w:rPr>
        <w:t>培。</w:t>
      </w:r>
    </w:p>
    <w:p>
      <w:pPr>
        <w:widowControl/>
        <w:tabs>
          <w:tab w:val="left" w:pos="2560"/>
        </w:tabs>
        <w:autoSpaceDE w:val="0"/>
        <w:autoSpaceDN w:val="0"/>
        <w:spacing w:before="0" w:after="0" w:line="618" w:lineRule="exact"/>
        <w:ind w:left="640" w:right="1152" w:firstLine="0"/>
        <w:jc w:val="left"/>
        <w:rPr>
          <w:rFonts w:ascii="楷体" w:hAnsi="楷体" w:eastAsia="楷体"/>
          <w:b/>
          <w:i w:val="0"/>
          <w:color w:val="000000"/>
          <w:sz w:val="31"/>
        </w:rPr>
      </w:pPr>
      <w:r>
        <w:rPr>
          <w:rFonts w:ascii="楷体" w:hAnsi="楷体" w:eastAsia="楷体"/>
          <w:b/>
          <w:i w:val="0"/>
          <w:color w:val="000000"/>
          <w:sz w:val="31"/>
        </w:rPr>
        <w:t xml:space="preserve">2.术语 </w:t>
      </w:r>
    </w:p>
    <w:p>
      <w:pPr>
        <w:widowControl/>
        <w:tabs>
          <w:tab w:val="left" w:pos="2560"/>
        </w:tabs>
        <w:autoSpaceDE w:val="0"/>
        <w:autoSpaceDN w:val="0"/>
        <w:spacing w:before="0" w:after="0" w:line="618" w:lineRule="exact"/>
        <w:ind w:left="640" w:right="1152" w:firstLine="0"/>
        <w:jc w:val="left"/>
        <w:rPr>
          <w:rFonts w:ascii="仿宋" w:hAnsi="仿宋" w:eastAsia="仿宋"/>
          <w:b w:val="0"/>
          <w:i w:val="0"/>
          <w:color w:val="000000"/>
          <w:sz w:val="31"/>
        </w:rPr>
      </w:pPr>
      <w:r>
        <w:rPr>
          <w:rFonts w:ascii="仿宋" w:hAnsi="仿宋" w:eastAsia="仿宋"/>
          <w:b w:val="0"/>
          <w:i w:val="0"/>
          <w:color w:val="000000"/>
          <w:sz w:val="31"/>
        </w:rPr>
        <w:t>本标准规定了以下术语：</w:t>
      </w:r>
    </w:p>
    <w:p>
      <w:pPr>
        <w:widowControl/>
        <w:tabs>
          <w:tab w:val="left" w:pos="640"/>
        </w:tabs>
        <w:autoSpaceDE w:val="0"/>
        <w:autoSpaceDN w:val="0"/>
        <w:spacing w:before="0" w:after="0" w:line="620" w:lineRule="exact"/>
        <w:ind w:left="0" w:right="0" w:firstLine="620" w:firstLineChars="200"/>
        <w:jc w:val="left"/>
        <w:rPr>
          <w:rFonts w:hint="eastAsia" w:ascii="仿宋" w:hAnsi="仿宋" w:eastAsia="仿宋"/>
          <w:b w:val="0"/>
          <w:i w:val="0"/>
          <w:color w:val="000000"/>
          <w:sz w:val="31"/>
          <w:lang w:val="en-US" w:eastAsia="zh-CN"/>
        </w:rPr>
      </w:pPr>
      <w:r>
        <w:rPr>
          <w:rFonts w:ascii="仿宋" w:hAnsi="仿宋" w:eastAsia="仿宋"/>
          <w:b w:val="0"/>
          <w:i w:val="0"/>
          <w:color w:val="000000"/>
          <w:sz w:val="31"/>
        </w:rPr>
        <w:t xml:space="preserve">2.1 </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 xml:space="preserve"> </w:t>
      </w:r>
      <w:r>
        <w:rPr>
          <w:rFonts w:hint="default" w:ascii="Times New Roman" w:hAnsi="Times New Roman" w:eastAsia="仿宋" w:cs="Times New Roman"/>
          <w:b w:val="0"/>
          <w:i/>
          <w:iCs/>
          <w:color w:val="000000"/>
          <w:sz w:val="31"/>
          <w:lang w:val="en-US" w:eastAsia="zh-CN"/>
        </w:rPr>
        <w:t>Auricularia fibrillifera</w:t>
      </w:r>
      <w:r>
        <w:rPr>
          <w:rFonts w:hint="eastAsia" w:ascii="仿宋" w:hAnsi="仿宋" w:eastAsia="仿宋"/>
          <w:b w:val="0"/>
          <w:i w:val="0"/>
          <w:color w:val="000000"/>
          <w:sz w:val="31"/>
          <w:lang w:val="en-US" w:eastAsia="zh-CN"/>
        </w:rPr>
        <w:t xml:space="preserve"> Kobayasi</w:t>
      </w:r>
    </w:p>
    <w:p>
      <w:pPr>
        <w:widowControl/>
        <w:tabs>
          <w:tab w:val="left" w:pos="640"/>
        </w:tabs>
        <w:autoSpaceDE w:val="0"/>
        <w:autoSpaceDN w:val="0"/>
        <w:spacing w:before="0" w:after="0" w:line="620" w:lineRule="exact"/>
        <w:ind w:left="0" w:right="0" w:firstLine="620" w:firstLineChars="200"/>
        <w:jc w:val="left"/>
        <w:rPr>
          <w:rFonts w:hint="default" w:ascii="仿宋" w:hAnsi="仿宋" w:eastAsia="仿宋"/>
          <w:b w:val="0"/>
          <w:i w:val="0"/>
          <w:color w:val="000000"/>
          <w:sz w:val="31"/>
          <w:lang w:val="en-US" w:eastAsia="zh-CN"/>
        </w:rPr>
      </w:pPr>
      <w:r>
        <w:rPr>
          <w:rFonts w:hint="default" w:ascii="仿宋" w:hAnsi="仿宋" w:eastAsia="仿宋"/>
          <w:b w:val="0"/>
          <w:i w:val="0"/>
          <w:color w:val="000000"/>
          <w:sz w:val="31"/>
          <w:lang w:val="en-US" w:eastAsia="zh-CN"/>
        </w:rPr>
        <w:t>脆木耳隶属于担子菌门，蘑菇纲，蘑菇目，木耳科，木耳属食用菌。其子实体单生或群生，胶质或软胶质、透明、盘状或耳状，无柄或似具柄，边缘全缘，最宽处直径可达15 cm，厚0.70～</w:t>
      </w:r>
      <w:r>
        <w:rPr>
          <w:rFonts w:hint="eastAsia" w:ascii="仿宋" w:hAnsi="仿宋" w:eastAsia="仿宋"/>
          <w:b w:val="0"/>
          <w:i w:val="0"/>
          <w:color w:val="000000"/>
          <w:sz w:val="31"/>
          <w:lang w:val="en-US" w:eastAsia="zh-CN"/>
        </w:rPr>
        <w:t>1.20</w:t>
      </w:r>
      <w:r>
        <w:rPr>
          <w:rFonts w:hint="default" w:ascii="仿宋" w:hAnsi="仿宋" w:eastAsia="仿宋"/>
          <w:b w:val="0"/>
          <w:i w:val="0"/>
          <w:color w:val="000000"/>
          <w:sz w:val="31"/>
          <w:lang w:val="en-US" w:eastAsia="zh-CN"/>
        </w:rPr>
        <w:t xml:space="preserve"> mm，淡红棕色，不孕面具稀疏柔毛，子实层面光滑或具皱褶。</w:t>
      </w:r>
    </w:p>
    <w:p>
      <w:pPr>
        <w:widowControl/>
        <w:tabs>
          <w:tab w:val="left" w:pos="640"/>
        </w:tabs>
        <w:autoSpaceDE w:val="0"/>
        <w:autoSpaceDN w:val="0"/>
        <w:spacing w:before="0" w:after="0" w:line="618" w:lineRule="exact"/>
        <w:ind w:left="0" w:right="288" w:firstLine="620" w:firstLineChars="200"/>
        <w:jc w:val="left"/>
        <w:rPr>
          <w:rFonts w:ascii="仿宋" w:hAnsi="仿宋" w:eastAsia="仿宋"/>
          <w:b w:val="0"/>
          <w:i w:val="0"/>
          <w:color w:val="000000"/>
          <w:sz w:val="31"/>
        </w:rPr>
      </w:pPr>
      <w:r>
        <w:rPr>
          <w:rFonts w:ascii="仿宋" w:hAnsi="仿宋" w:eastAsia="仿宋"/>
          <w:b w:val="0"/>
          <w:i w:val="0"/>
          <w:color w:val="000000"/>
          <w:sz w:val="31"/>
        </w:rPr>
        <w:t xml:space="preserve">2.2 菌种 </w:t>
      </w:r>
      <w:r>
        <w:rPr>
          <w:rFonts w:hint="eastAsia"/>
          <w:lang w:val="en-US" w:eastAsia="zh-CN"/>
        </w:rPr>
        <w:t>spawn</w:t>
      </w:r>
    </w:p>
    <w:p>
      <w:pPr>
        <w:widowControl/>
        <w:tabs>
          <w:tab w:val="left" w:pos="640"/>
        </w:tabs>
        <w:autoSpaceDE w:val="0"/>
        <w:autoSpaceDN w:val="0"/>
        <w:spacing w:before="0" w:after="0" w:line="618" w:lineRule="exact"/>
        <w:ind w:left="0" w:right="288" w:firstLine="620" w:firstLineChars="200"/>
        <w:jc w:val="left"/>
      </w:pPr>
      <w:r>
        <w:rPr>
          <w:rFonts w:hint="eastAsia" w:ascii="仿宋" w:hAnsi="仿宋" w:eastAsia="仿宋"/>
          <w:b w:val="0"/>
          <w:i w:val="0"/>
          <w:color w:val="000000"/>
          <w:sz w:val="31"/>
          <w:lang w:val="en-US" w:eastAsia="zh-CN"/>
        </w:rPr>
        <w:t>经各种方法分离或选育得到的具有结实性的菌丝体纯培养物及其继代培养物，包括母种（一级种）、原种（二级种）和栽培种（三级种）。</w:t>
      </w:r>
    </w:p>
    <w:p>
      <w:pPr>
        <w:widowControl/>
        <w:autoSpaceDE w:val="0"/>
        <w:autoSpaceDN w:val="0"/>
        <w:spacing w:before="284" w:after="0" w:line="320" w:lineRule="exact"/>
        <w:ind w:left="640" w:right="0" w:firstLine="0"/>
        <w:jc w:val="left"/>
        <w:rPr>
          <w:rFonts w:hint="eastAsia" w:ascii="仿宋" w:hAnsi="仿宋" w:eastAsia="仿宋"/>
          <w:b w:val="0"/>
          <w:i w:val="0"/>
          <w:color w:val="000000"/>
          <w:sz w:val="31"/>
          <w:lang w:val="en-US" w:eastAsia="zh-CN"/>
        </w:rPr>
      </w:pPr>
      <w:r>
        <w:rPr>
          <w:rFonts w:ascii="仿宋" w:hAnsi="仿宋" w:eastAsia="仿宋"/>
          <w:b w:val="0"/>
          <w:i w:val="0"/>
          <w:color w:val="000000"/>
          <w:sz w:val="31"/>
        </w:rPr>
        <w:t xml:space="preserve">2.4 </w:t>
      </w:r>
      <w:r>
        <w:rPr>
          <w:rFonts w:hint="eastAsia" w:ascii="仿宋" w:hAnsi="仿宋" w:eastAsia="仿宋"/>
          <w:b w:val="0"/>
          <w:i w:val="0"/>
          <w:color w:val="000000"/>
          <w:sz w:val="31"/>
          <w:lang w:val="en-US" w:eastAsia="zh-CN"/>
        </w:rPr>
        <w:t>季节性栽培 seasonal cultivation</w:t>
      </w:r>
    </w:p>
    <w:p>
      <w:pPr>
        <w:widowControl/>
        <w:tabs>
          <w:tab w:val="left" w:pos="640"/>
        </w:tabs>
        <w:autoSpaceDE w:val="0"/>
        <w:autoSpaceDN w:val="0"/>
        <w:spacing w:before="0" w:after="0" w:line="618" w:lineRule="exact"/>
        <w:ind w:left="0" w:right="288" w:firstLine="620" w:firstLineChars="200"/>
        <w:jc w:val="left"/>
      </w:pPr>
      <w:r>
        <w:rPr>
          <w:rFonts w:hint="eastAsia" w:ascii="仿宋" w:hAnsi="仿宋" w:eastAsia="仿宋"/>
          <w:b w:val="0"/>
          <w:i w:val="0"/>
          <w:color w:val="000000"/>
          <w:sz w:val="31"/>
          <w:lang w:val="en-US" w:eastAsia="zh-CN"/>
        </w:rPr>
        <w:t>在自然季节条件下进行的食用菌栽培。</w:t>
      </w:r>
    </w:p>
    <w:p>
      <w:pPr>
        <w:widowControl/>
        <w:tabs>
          <w:tab w:val="left" w:pos="640"/>
        </w:tabs>
        <w:autoSpaceDE w:val="0"/>
        <w:autoSpaceDN w:val="0"/>
        <w:spacing w:before="0" w:after="0" w:line="620" w:lineRule="exact"/>
        <w:ind w:left="616" w:leftChars="280" w:right="144" w:firstLine="0" w:firstLineChars="0"/>
        <w:jc w:val="left"/>
        <w:rPr>
          <w:rFonts w:ascii="楷体" w:hAnsi="楷体" w:eastAsia="楷体"/>
          <w:b/>
          <w:i w:val="0"/>
          <w:color w:val="000000"/>
          <w:sz w:val="31"/>
        </w:rPr>
      </w:pPr>
      <w:r>
        <w:rPr>
          <w:rFonts w:ascii="楷体" w:hAnsi="楷体" w:eastAsia="楷体"/>
          <w:b/>
          <w:i w:val="0"/>
          <w:color w:val="000000"/>
          <w:sz w:val="31"/>
        </w:rPr>
        <w:t>3.关键技术创新点</w:t>
      </w:r>
    </w:p>
    <w:p>
      <w:pPr>
        <w:widowControl/>
        <w:tabs>
          <w:tab w:val="left" w:pos="640"/>
        </w:tabs>
        <w:autoSpaceDE w:val="0"/>
        <w:autoSpaceDN w:val="0"/>
        <w:spacing w:before="0" w:after="0" w:line="620" w:lineRule="exact"/>
        <w:ind w:right="144" w:firstLine="620" w:firstLineChars="200"/>
        <w:jc w:val="left"/>
      </w:pPr>
      <w:r>
        <w:rPr>
          <w:rFonts w:ascii="仿宋" w:hAnsi="仿宋" w:eastAsia="仿宋"/>
          <w:b w:val="0"/>
          <w:i w:val="0"/>
          <w:color w:val="000000"/>
          <w:sz w:val="31"/>
        </w:rPr>
        <w:t>（1）</w:t>
      </w:r>
      <w:r>
        <w:rPr>
          <w:rFonts w:hint="eastAsia" w:ascii="仿宋" w:hAnsi="仿宋" w:eastAsia="仿宋"/>
          <w:b w:val="0"/>
          <w:i w:val="0"/>
          <w:color w:val="000000"/>
          <w:sz w:val="31"/>
        </w:rPr>
        <w:t>适配江西亚热带气候，创新春、夏、秋三季标准化栽培，明确各季制袋与出耳时间，延长栽培周期</w:t>
      </w:r>
      <w:r>
        <w:rPr>
          <w:rFonts w:ascii="仿宋" w:hAnsi="仿宋" w:eastAsia="仿宋"/>
          <w:b w:val="0"/>
          <w:i w:val="0"/>
          <w:color w:val="000000"/>
          <w:sz w:val="31"/>
        </w:rPr>
        <w:t>。</w:t>
      </w:r>
    </w:p>
    <w:p>
      <w:pPr>
        <w:widowControl/>
        <w:tabs>
          <w:tab w:val="left" w:pos="640"/>
        </w:tabs>
        <w:autoSpaceDE w:val="0"/>
        <w:autoSpaceDN w:val="0"/>
        <w:spacing w:before="0" w:after="0" w:line="614" w:lineRule="exact"/>
        <w:ind w:right="144" w:firstLine="620" w:firstLineChars="200"/>
        <w:jc w:val="left"/>
      </w:pPr>
      <w:r>
        <w:rPr>
          <w:rFonts w:hint="eastAsia" w:ascii="仿宋" w:hAnsi="仿宋" w:eastAsia="仿宋"/>
          <w:b w:val="0"/>
          <w:i w:val="0"/>
          <w:color w:val="000000"/>
          <w:sz w:val="31"/>
        </w:rPr>
        <w:t>（2）菌种生产配方。优化出适宜的</w:t>
      </w:r>
      <w:r>
        <w:rPr>
          <w:rFonts w:hint="eastAsia" w:ascii="仿宋" w:hAnsi="仿宋" w:eastAsia="仿宋"/>
          <w:b w:val="0"/>
          <w:i w:val="0"/>
          <w:color w:val="000000"/>
          <w:sz w:val="31"/>
          <w:lang w:val="en-US" w:eastAsia="zh-CN"/>
        </w:rPr>
        <w:t>脆木耳</w:t>
      </w:r>
      <w:r>
        <w:rPr>
          <w:rFonts w:hint="eastAsia" w:ascii="仿宋" w:hAnsi="仿宋" w:eastAsia="仿宋"/>
          <w:b w:val="0"/>
          <w:i w:val="0"/>
          <w:color w:val="000000"/>
          <w:sz w:val="31"/>
        </w:rPr>
        <w:t>栽培种培养基配方，满足其营养需求。</w:t>
      </w:r>
    </w:p>
    <w:p>
      <w:pPr>
        <w:widowControl/>
        <w:tabs>
          <w:tab w:val="left" w:pos="640"/>
        </w:tabs>
        <w:autoSpaceDE w:val="0"/>
        <w:autoSpaceDN w:val="0"/>
        <w:spacing w:before="0" w:after="0" w:line="614" w:lineRule="exact"/>
        <w:ind w:left="0" w:right="144" w:firstLine="620" w:firstLineChars="200"/>
        <w:jc w:val="left"/>
        <w:rPr>
          <w:rFonts w:hint="eastAsia" w:ascii="仿宋" w:hAnsi="仿宋" w:eastAsia="仿宋"/>
          <w:b w:val="0"/>
          <w:i w:val="0"/>
          <w:color w:val="000000"/>
          <w:sz w:val="31"/>
        </w:rPr>
      </w:pPr>
      <w:r>
        <w:rPr>
          <w:rFonts w:ascii="仿宋" w:hAnsi="仿宋" w:eastAsia="仿宋"/>
          <w:b w:val="0"/>
          <w:i w:val="0"/>
          <w:color w:val="000000"/>
          <w:sz w:val="31"/>
        </w:rPr>
        <w:t>（3）</w:t>
      </w:r>
      <w:r>
        <w:rPr>
          <w:rFonts w:hint="eastAsia" w:ascii="仿宋" w:hAnsi="仿宋" w:eastAsia="仿宋"/>
          <w:b w:val="0"/>
          <w:i w:val="0"/>
          <w:color w:val="000000"/>
          <w:sz w:val="31"/>
        </w:rPr>
        <w:t>量化菌袋制作、催芽育耳全流程参数，提升出耳率与耳片均匀度。</w:t>
      </w:r>
    </w:p>
    <w:p>
      <w:pPr>
        <w:widowControl/>
        <w:tabs>
          <w:tab w:val="left" w:pos="640"/>
        </w:tabs>
        <w:autoSpaceDE w:val="0"/>
        <w:autoSpaceDN w:val="0"/>
        <w:spacing w:before="0" w:after="0" w:line="614" w:lineRule="exact"/>
        <w:ind w:left="0" w:right="144" w:firstLine="620" w:firstLineChars="200"/>
        <w:jc w:val="left"/>
        <w:rPr>
          <w:rFonts w:hint="eastAsia" w:ascii="仿宋" w:hAnsi="仿宋" w:eastAsia="仿宋"/>
          <w:b w:val="0"/>
          <w:i w:val="0"/>
          <w:color w:val="000000"/>
          <w:sz w:val="31"/>
        </w:rPr>
      </w:pPr>
      <w:r>
        <w:rPr>
          <w:rFonts w:ascii="仿宋" w:hAnsi="仿宋" w:eastAsia="仿宋"/>
          <w:b w:val="0"/>
          <w:i w:val="0"/>
          <w:color w:val="000000"/>
          <w:sz w:val="31"/>
        </w:rPr>
        <w:t>（</w:t>
      </w:r>
      <w:r>
        <w:rPr>
          <w:rFonts w:hint="eastAsia" w:ascii="仿宋" w:hAnsi="仿宋" w:eastAsia="仿宋"/>
          <w:b w:val="0"/>
          <w:i w:val="0"/>
          <w:color w:val="000000"/>
          <w:sz w:val="31"/>
          <w:lang w:val="en-US" w:eastAsia="zh-CN"/>
        </w:rPr>
        <w:t>4</w:t>
      </w:r>
      <w:r>
        <w:rPr>
          <w:rFonts w:ascii="仿宋" w:hAnsi="仿宋" w:eastAsia="仿宋"/>
          <w:b w:val="0"/>
          <w:i w:val="0"/>
          <w:color w:val="000000"/>
          <w:sz w:val="31"/>
        </w:rPr>
        <w:t>）</w:t>
      </w:r>
      <w:r>
        <w:rPr>
          <w:rFonts w:hint="eastAsia" w:ascii="仿宋" w:hAnsi="仿宋" w:eastAsia="仿宋"/>
          <w:b w:val="0"/>
          <w:i w:val="0"/>
          <w:color w:val="000000"/>
          <w:sz w:val="31"/>
        </w:rPr>
        <w:t>建立绿色病虫害防控体系，出耳期禁喷药；创新梯度烘干工艺，延长贮藏期。</w:t>
      </w:r>
    </w:p>
    <w:p>
      <w:pPr>
        <w:widowControl/>
        <w:tabs>
          <w:tab w:val="left" w:pos="640"/>
        </w:tabs>
        <w:autoSpaceDE w:val="0"/>
        <w:autoSpaceDN w:val="0"/>
        <w:spacing w:before="0" w:after="0" w:line="618" w:lineRule="exact"/>
        <w:ind w:left="616" w:leftChars="280" w:right="0" w:firstLine="0" w:firstLineChars="0"/>
        <w:jc w:val="left"/>
        <w:rPr>
          <w:rFonts w:ascii="楷体" w:hAnsi="楷体" w:eastAsia="楷体"/>
          <w:b/>
          <w:i w:val="0"/>
          <w:color w:val="000000"/>
          <w:sz w:val="31"/>
        </w:rPr>
      </w:pPr>
      <w:r>
        <w:rPr>
          <w:rFonts w:ascii="楷体" w:hAnsi="楷体" w:eastAsia="楷体"/>
          <w:b/>
          <w:i w:val="0"/>
          <w:color w:val="000000"/>
          <w:sz w:val="31"/>
        </w:rPr>
        <w:t>4、作用及效果</w:t>
      </w:r>
    </w:p>
    <w:p>
      <w:pPr>
        <w:widowControl/>
        <w:tabs>
          <w:tab w:val="left" w:pos="640"/>
        </w:tabs>
        <w:autoSpaceDE w:val="0"/>
        <w:autoSpaceDN w:val="0"/>
        <w:spacing w:before="0" w:after="0" w:line="614" w:lineRule="exact"/>
        <w:ind w:left="0" w:right="144" w:firstLine="620" w:firstLineChars="200"/>
        <w:jc w:val="left"/>
        <w:rPr>
          <w:rFonts w:hint="eastAsia" w:ascii="仿宋" w:hAnsi="仿宋" w:eastAsia="仿宋"/>
          <w:b w:val="0"/>
          <w:i w:val="0"/>
          <w:color w:val="000000"/>
          <w:sz w:val="31"/>
        </w:rPr>
      </w:pPr>
      <w:r>
        <w:rPr>
          <w:rFonts w:hint="eastAsia" w:ascii="仿宋" w:hAnsi="仿宋" w:eastAsia="仿宋"/>
          <w:b w:val="0"/>
          <w:i w:val="0"/>
          <w:color w:val="000000"/>
          <w:sz w:val="31"/>
        </w:rPr>
        <w:t>作用：明确从场地、原料、菌袋制作到采收贮藏、病虫害防控的全流程要求，统一技术参数与操作规范，解决传统栽培不标准、品质不稳定问题。</w:t>
      </w:r>
    </w:p>
    <w:p>
      <w:pPr>
        <w:widowControl/>
        <w:tabs>
          <w:tab w:val="left" w:pos="640"/>
        </w:tabs>
        <w:autoSpaceDE w:val="0"/>
        <w:autoSpaceDN w:val="0"/>
        <w:spacing w:before="0" w:after="0" w:line="614" w:lineRule="exact"/>
        <w:ind w:left="0" w:right="144" w:firstLine="620" w:firstLineChars="200"/>
        <w:jc w:val="left"/>
        <w:rPr>
          <w:rFonts w:hint="eastAsia" w:ascii="仿宋" w:hAnsi="仿宋" w:eastAsia="仿宋"/>
          <w:b w:val="0"/>
          <w:i w:val="0"/>
          <w:color w:val="000000"/>
          <w:sz w:val="31"/>
          <w:lang w:val="en-US" w:eastAsia="zh-CN"/>
        </w:rPr>
      </w:pPr>
      <w:r>
        <w:rPr>
          <w:rFonts w:hint="eastAsia" w:ascii="仿宋" w:hAnsi="仿宋" w:eastAsia="仿宋"/>
          <w:b w:val="0"/>
          <w:i w:val="0"/>
          <w:color w:val="000000"/>
          <w:sz w:val="31"/>
          <w:lang w:val="en-US" w:eastAsia="zh-CN"/>
        </w:rPr>
        <w:t>效果：</w:t>
      </w:r>
      <w:r>
        <w:rPr>
          <w:rFonts w:hint="eastAsia" w:ascii="仿宋" w:hAnsi="仿宋" w:eastAsia="仿宋"/>
          <w:b w:val="0"/>
          <w:i w:val="0"/>
          <w:color w:val="000000"/>
          <w:sz w:val="31"/>
        </w:rPr>
        <w:t>适配本地亚热带气候实现三季栽培，提升产量；绿色防控保障产品安全；精准工艺提高耳片均匀度与品质；还能高效利用农林废弃物降本，助力脆木耳规模化、标准化生产，推动当地相关产业规范发展。</w:t>
      </w:r>
    </w:p>
    <w:p>
      <w:pPr>
        <w:widowControl/>
        <w:numPr>
          <w:ilvl w:val="0"/>
          <w:numId w:val="0"/>
        </w:numPr>
        <w:autoSpaceDE w:val="0"/>
        <w:autoSpaceDN w:val="0"/>
        <w:spacing w:before="0" w:after="0" w:line="614" w:lineRule="exact"/>
        <w:ind w:left="616" w:leftChars="280" w:right="144" w:rightChars="0" w:firstLine="0" w:firstLineChars="0"/>
        <w:jc w:val="left"/>
        <w:rPr>
          <w:rFonts w:ascii="黑体" w:hAnsi="黑体" w:eastAsia="黑体"/>
          <w:b w:val="0"/>
          <w:i w:val="0"/>
          <w:color w:val="000000"/>
          <w:sz w:val="31"/>
        </w:rPr>
      </w:pPr>
      <w:r>
        <w:rPr>
          <w:rFonts w:hint="eastAsia" w:ascii="黑体" w:hAnsi="黑体" w:eastAsia="黑体" w:cstheme="minorBidi"/>
          <w:b w:val="0"/>
          <w:i w:val="0"/>
          <w:color w:val="000000"/>
          <w:sz w:val="31"/>
          <w:szCs w:val="22"/>
          <w:lang w:val="en-US" w:eastAsia="en-US" w:bidi="ar-SA"/>
        </w:rPr>
        <w:t>五、</w:t>
      </w:r>
      <w:r>
        <w:rPr>
          <w:rFonts w:ascii="黑体" w:hAnsi="黑体" w:eastAsia="黑体"/>
          <w:b w:val="0"/>
          <w:i w:val="0"/>
          <w:color w:val="000000"/>
          <w:sz w:val="31"/>
        </w:rPr>
        <w:t>重大意见分歧的处理依据和结果</w:t>
      </w:r>
    </w:p>
    <w:p>
      <w:pPr>
        <w:widowControl/>
        <w:numPr>
          <w:ilvl w:val="0"/>
          <w:numId w:val="0"/>
        </w:numPr>
        <w:autoSpaceDE w:val="0"/>
        <w:autoSpaceDN w:val="0"/>
        <w:spacing w:before="0" w:after="0" w:line="614" w:lineRule="exact"/>
        <w:ind w:right="144" w:rightChars="0" w:firstLine="620" w:firstLineChars="200"/>
        <w:jc w:val="left"/>
      </w:pPr>
      <w:r>
        <w:rPr>
          <w:rFonts w:ascii="仿宋" w:hAnsi="仿宋" w:eastAsia="仿宋"/>
          <w:b w:val="0"/>
          <w:i w:val="0"/>
          <w:color w:val="000000"/>
          <w:sz w:val="31"/>
        </w:rPr>
        <w:t>本标准在起草制</w:t>
      </w:r>
      <w:r>
        <w:rPr>
          <w:rFonts w:hint="eastAsia" w:ascii="仿宋" w:hAnsi="仿宋" w:eastAsia="仿宋"/>
          <w:b w:val="0"/>
          <w:i w:val="0"/>
          <w:color w:val="000000"/>
          <w:sz w:val="31"/>
          <w:lang w:val="en-US" w:eastAsia="zh-CN"/>
        </w:rPr>
        <w:t>定</w:t>
      </w:r>
      <w:r>
        <w:rPr>
          <w:rFonts w:ascii="仿宋" w:hAnsi="仿宋" w:eastAsia="仿宋"/>
          <w:b w:val="0"/>
          <w:i w:val="0"/>
          <w:color w:val="000000"/>
          <w:sz w:val="31"/>
        </w:rPr>
        <w:t>过程中，已征询了省内外相关行业单位和专家意见，包括大学院校、省市级科研单位、</w:t>
      </w:r>
      <w:r>
        <w:rPr>
          <w:rFonts w:hint="eastAsia" w:ascii="仿宋" w:hAnsi="仿宋" w:eastAsia="仿宋"/>
          <w:b w:val="0"/>
          <w:i w:val="0"/>
          <w:color w:val="000000"/>
          <w:sz w:val="31"/>
          <w:lang w:val="en-US" w:eastAsia="zh-CN"/>
        </w:rPr>
        <w:t>政府管理部门</w:t>
      </w:r>
      <w:r>
        <w:rPr>
          <w:rFonts w:ascii="仿宋" w:hAnsi="仿宋" w:eastAsia="仿宋"/>
          <w:b w:val="0"/>
          <w:i w:val="0"/>
          <w:color w:val="000000"/>
          <w:sz w:val="31"/>
        </w:rPr>
        <w:t>和有关</w:t>
      </w:r>
      <w:r>
        <w:rPr>
          <w:rFonts w:hint="eastAsia" w:ascii="仿宋" w:hAnsi="仿宋" w:eastAsia="仿宋"/>
          <w:b w:val="0"/>
          <w:i w:val="0"/>
          <w:color w:val="000000"/>
          <w:sz w:val="31"/>
          <w:lang w:val="en-US" w:eastAsia="zh-CN"/>
        </w:rPr>
        <w:t>生产</w:t>
      </w:r>
      <w:r>
        <w:rPr>
          <w:rFonts w:ascii="仿宋" w:hAnsi="仿宋" w:eastAsia="仿宋"/>
          <w:b w:val="0"/>
          <w:i w:val="0"/>
          <w:color w:val="000000"/>
          <w:sz w:val="31"/>
        </w:rPr>
        <w:t>企业，对规程条款无重大分歧意见，仅对文本的部分章节内容提出了修改意见。编写小组认真讨论分析了专家的意见，并按照意见建议重新对文本进行了修改、补充和完善，形成了《</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生产技术规程》修改版本。</w:t>
      </w:r>
    </w:p>
    <w:p>
      <w:pPr>
        <w:widowControl/>
        <w:numPr>
          <w:ilvl w:val="0"/>
          <w:numId w:val="8"/>
        </w:numPr>
        <w:tabs>
          <w:tab w:val="left" w:pos="640"/>
        </w:tabs>
        <w:autoSpaceDE w:val="0"/>
        <w:autoSpaceDN w:val="0"/>
        <w:spacing w:before="0" w:after="0" w:line="618" w:lineRule="exact"/>
        <w:ind w:left="616" w:leftChars="280" w:right="0" w:firstLine="0" w:firstLineChars="0"/>
        <w:jc w:val="left"/>
        <w:rPr>
          <w:rFonts w:ascii="黑体" w:hAnsi="黑体" w:eastAsia="黑体"/>
          <w:b w:val="0"/>
          <w:i w:val="0"/>
          <w:color w:val="000000"/>
          <w:sz w:val="31"/>
        </w:rPr>
      </w:pPr>
      <w:r>
        <w:rPr>
          <w:rFonts w:ascii="黑体" w:hAnsi="黑体" w:eastAsia="黑体"/>
          <w:b w:val="0"/>
          <w:i w:val="0"/>
          <w:color w:val="000000"/>
          <w:sz w:val="31"/>
        </w:rPr>
        <w:t>贯彻标准的措施建议</w:t>
      </w:r>
    </w:p>
    <w:p>
      <w:pPr>
        <w:widowControl/>
        <w:numPr>
          <w:ilvl w:val="0"/>
          <w:numId w:val="0"/>
        </w:numPr>
        <w:tabs>
          <w:tab w:val="left" w:pos="640"/>
        </w:tabs>
        <w:autoSpaceDE w:val="0"/>
        <w:autoSpaceDN w:val="0"/>
        <w:spacing w:before="0" w:after="0" w:line="618" w:lineRule="exact"/>
        <w:ind w:right="0" w:rightChars="0" w:firstLine="620" w:firstLineChars="200"/>
        <w:jc w:val="left"/>
      </w:pPr>
      <w:r>
        <w:rPr>
          <w:rFonts w:ascii="仿宋" w:hAnsi="仿宋" w:eastAsia="仿宋"/>
          <w:b w:val="0"/>
          <w:i w:val="0"/>
          <w:color w:val="000000"/>
          <w:sz w:val="31"/>
        </w:rPr>
        <w:t>本标准适用对象是</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生产企业、合作社以及开展相关科研工作的单位主体等。</w:t>
      </w:r>
    </w:p>
    <w:p>
      <w:pPr>
        <w:widowControl/>
        <w:autoSpaceDE w:val="0"/>
        <w:autoSpaceDN w:val="0"/>
        <w:spacing w:before="0" w:after="0" w:line="620" w:lineRule="exact"/>
        <w:ind w:left="0" w:right="20" w:firstLine="640"/>
        <w:jc w:val="both"/>
      </w:pPr>
      <w:r>
        <w:rPr>
          <w:rFonts w:ascii="仿宋" w:hAnsi="仿宋" w:eastAsia="仿宋"/>
          <w:b w:val="0"/>
          <w:i w:val="0"/>
          <w:color w:val="000000"/>
          <w:sz w:val="31"/>
        </w:rPr>
        <w:t>该标准发布实施后，为保证标准的推广和有效实施，可通过各级农业技术推广部门积极推广，加强标准技术培训，</w:t>
      </w:r>
      <w:r>
        <w:rPr>
          <w:rFonts w:hint="eastAsia" w:ascii="仿宋" w:hAnsi="仿宋" w:eastAsia="仿宋"/>
          <w:b w:val="0"/>
          <w:i w:val="0"/>
          <w:color w:val="000000"/>
          <w:sz w:val="31"/>
          <w:lang w:val="en-US" w:eastAsia="zh-CN"/>
        </w:rPr>
        <w:t>在</w:t>
      </w:r>
      <w:r>
        <w:rPr>
          <w:rFonts w:ascii="仿宋" w:hAnsi="仿宋" w:eastAsia="仿宋"/>
          <w:b w:val="0"/>
          <w:i w:val="0"/>
          <w:color w:val="000000"/>
          <w:sz w:val="31"/>
        </w:rPr>
        <w:t>全省</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主产区和</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生产企业举办培训班，针对</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生产关键环节和技术进行培训和指导，积极推进</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生产技术标准的实施。</w:t>
      </w:r>
    </w:p>
    <w:p>
      <w:pPr>
        <w:widowControl/>
        <w:autoSpaceDE w:val="0"/>
        <w:autoSpaceDN w:val="0"/>
        <w:spacing w:before="0" w:after="0" w:line="614" w:lineRule="exact"/>
        <w:ind w:left="640" w:right="4464" w:firstLine="0"/>
        <w:jc w:val="left"/>
      </w:pPr>
      <w:r>
        <w:rPr>
          <w:rFonts w:ascii="黑体" w:hAnsi="黑体" w:eastAsia="黑体"/>
          <w:b w:val="0"/>
          <w:i w:val="0"/>
          <w:color w:val="000000"/>
          <w:sz w:val="31"/>
        </w:rPr>
        <w:t xml:space="preserve">八、其他应说明的事项 </w:t>
      </w:r>
      <w:r>
        <w:br w:type="textWrapping"/>
      </w:r>
      <w:r>
        <w:rPr>
          <w:rFonts w:ascii="仿宋" w:hAnsi="仿宋" w:eastAsia="仿宋"/>
          <w:b w:val="0"/>
          <w:i w:val="0"/>
          <w:color w:val="000000"/>
          <w:sz w:val="31"/>
        </w:rPr>
        <w:t>无。</w:t>
      </w:r>
    </w:p>
    <w:p>
      <w:pPr>
        <w:widowControl/>
        <w:tabs>
          <w:tab w:val="left" w:pos="4160"/>
        </w:tabs>
        <w:autoSpaceDE w:val="0"/>
        <w:autoSpaceDN w:val="0"/>
        <w:spacing w:before="476" w:after="0" w:line="646" w:lineRule="exact"/>
        <w:ind w:left="2240" w:right="0" w:firstLine="0"/>
        <w:jc w:val="left"/>
      </w:pPr>
      <w:r>
        <w:rPr>
          <w:rFonts w:ascii="仿宋" w:hAnsi="仿宋" w:eastAsia="仿宋"/>
          <w:b w:val="0"/>
          <w:i w:val="0"/>
          <w:color w:val="000000"/>
          <w:sz w:val="31"/>
        </w:rPr>
        <w:t>《</w:t>
      </w:r>
      <w:r>
        <w:rPr>
          <w:rFonts w:hint="eastAsia" w:ascii="仿宋" w:hAnsi="仿宋" w:eastAsia="仿宋"/>
          <w:b w:val="0"/>
          <w:i w:val="0"/>
          <w:color w:val="000000"/>
          <w:sz w:val="31"/>
          <w:lang w:val="en-US" w:eastAsia="zh-CN"/>
        </w:rPr>
        <w:t>脆木耳</w:t>
      </w:r>
      <w:r>
        <w:rPr>
          <w:rFonts w:ascii="仿宋" w:hAnsi="仿宋" w:eastAsia="仿宋"/>
          <w:b w:val="0"/>
          <w:i w:val="0"/>
          <w:color w:val="000000"/>
          <w:sz w:val="31"/>
        </w:rPr>
        <w:t>生产技术规程》标准起草小组</w:t>
      </w:r>
      <w:r>
        <w:tab/>
      </w:r>
      <w:r>
        <w:rPr>
          <w:rFonts w:ascii="Times New Roman" w:hAnsi="Times New Roman" w:eastAsia="Times New Roman"/>
          <w:b w:val="0"/>
          <w:i w:val="0"/>
          <w:color w:val="000000"/>
          <w:sz w:val="31"/>
        </w:rPr>
        <w:t>202</w:t>
      </w:r>
      <w:r>
        <w:rPr>
          <w:rFonts w:hint="eastAsia" w:ascii="Times New Roman" w:hAnsi="Times New Roman" w:eastAsia="宋体"/>
          <w:b w:val="0"/>
          <w:i w:val="0"/>
          <w:color w:val="000000"/>
          <w:sz w:val="31"/>
          <w:lang w:val="en-US" w:eastAsia="zh-CN"/>
        </w:rPr>
        <w:t>5</w:t>
      </w:r>
      <w:r>
        <w:rPr>
          <w:rFonts w:ascii="仿宋" w:hAnsi="仿宋" w:eastAsia="仿宋"/>
          <w:b w:val="0"/>
          <w:i w:val="0"/>
          <w:color w:val="000000"/>
          <w:spacing w:val="-24"/>
          <w:sz w:val="31"/>
        </w:rPr>
        <w:t xml:space="preserve"> 年</w:t>
      </w:r>
      <w:r>
        <w:rPr>
          <w:rFonts w:ascii="Times New Roman" w:hAnsi="Times New Roman" w:eastAsia="Times New Roman"/>
          <w:b w:val="0"/>
          <w:i w:val="0"/>
          <w:color w:val="000000"/>
          <w:sz w:val="31"/>
        </w:rPr>
        <w:t xml:space="preserve"> </w:t>
      </w:r>
      <w:r>
        <w:rPr>
          <w:rFonts w:hint="eastAsia" w:ascii="Times New Roman" w:hAnsi="Times New Roman" w:eastAsia="宋体"/>
          <w:b w:val="0"/>
          <w:i w:val="0"/>
          <w:color w:val="000000"/>
          <w:sz w:val="31"/>
          <w:lang w:val="en-US" w:eastAsia="zh-CN"/>
        </w:rPr>
        <w:t>10</w:t>
      </w:r>
      <w:r>
        <w:rPr>
          <w:rFonts w:ascii="仿宋" w:hAnsi="仿宋" w:eastAsia="仿宋"/>
          <w:b w:val="0"/>
          <w:i w:val="0"/>
          <w:color w:val="000000"/>
          <w:spacing w:val="-24"/>
          <w:sz w:val="31"/>
        </w:rPr>
        <w:t xml:space="preserve"> 月</w:t>
      </w:r>
      <w:r>
        <w:rPr>
          <w:rFonts w:ascii="Times New Roman" w:hAnsi="Times New Roman" w:eastAsia="Times New Roman"/>
          <w:b w:val="0"/>
          <w:i w:val="0"/>
          <w:color w:val="000000"/>
          <w:sz w:val="31"/>
        </w:rPr>
        <w:t xml:space="preserve"> </w:t>
      </w:r>
      <w:r>
        <w:rPr>
          <w:rFonts w:hint="eastAsia" w:ascii="Times New Roman" w:hAnsi="Times New Roman" w:eastAsia="宋体"/>
          <w:b w:val="0"/>
          <w:i w:val="0"/>
          <w:color w:val="000000"/>
          <w:sz w:val="31"/>
          <w:lang w:val="en-US" w:eastAsia="zh-CN"/>
        </w:rPr>
        <w:t>12</w:t>
      </w:r>
      <w:r>
        <w:rPr>
          <w:rFonts w:ascii="仿宋" w:hAnsi="仿宋" w:eastAsia="仿宋"/>
          <w:b w:val="0"/>
          <w:i w:val="0"/>
          <w:color w:val="000000"/>
          <w:spacing w:val="-26"/>
          <w:sz w:val="31"/>
        </w:rPr>
        <w:t xml:space="preserve"> 日</w:t>
      </w:r>
    </w:p>
    <w:sectPr>
      <w:pgSz w:w="11906" w:h="16838"/>
      <w:pgMar w:top="1440" w:right="1768" w:bottom="1440" w:left="1800" w:header="720" w:footer="720" w:gutter="0"/>
      <w:cols w:equalWidth="0" w:num="1">
        <w:col w:w="8338"/>
      </w:cols>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Malgun Gothic">
    <w:panose1 w:val="020B0503020000020004"/>
    <w:charset w:val="81"/>
    <w:family w:val="auto"/>
    <w:pitch w:val="default"/>
    <w:sig w:usb0="9000002F" w:usb1="29D77CFB" w:usb2="00000012" w:usb3="00000000" w:csb0="00080001" w:csb1="00000000"/>
  </w:font>
  <w:font w:name="Noto Sans SC DemiLight">
    <w:panose1 w:val="020B0200000000000000"/>
    <w:charset w:val="86"/>
    <w:family w:val="auto"/>
    <w:pitch w:val="default"/>
    <w:sig w:usb0="20000083" w:usb1="2ADF3C10" w:usb2="00000016" w:usb3="00000000" w:csb0="60060107" w:csb1="00000000"/>
  </w:font>
  <w:font w:name="Noto Serif SC Medium">
    <w:panose1 w:val="02020200000000000000"/>
    <w:charset w:val="86"/>
    <w:family w:val="auto"/>
    <w:pitch w:val="default"/>
    <w:sig w:usb0="20000083" w:usb1="2ADF3C10" w:usb2="00000016" w:usb3="00000000" w:csb0="60060107" w:csb1="00000000"/>
  </w:font>
  <w:font w:name="Noto Serif SC Light">
    <w:panose1 w:val="02020200000000000000"/>
    <w:charset w:val="86"/>
    <w:family w:val="auto"/>
    <w:pitch w:val="default"/>
    <w:sig w:usb0="20000083" w:usb1="2ADF3C10" w:usb2="00000016" w:usb3="00000000" w:csb0="60060107" w:csb1="00000000"/>
  </w:font>
  <w:font w:name="Yu Gothic UI">
    <w:panose1 w:val="020B0500000000000000"/>
    <w:charset w:val="80"/>
    <w:family w:val="auto"/>
    <w:pitch w:val="default"/>
    <w:sig w:usb0="E00002FF" w:usb1="2AC7FDFF" w:usb2="00000016" w:usb3="00000000" w:csb0="2002009F" w:csb1="00000000"/>
  </w:font>
  <w:font w:name="Bahnschrift">
    <w:panose1 w:val="020B0502040204020203"/>
    <w:charset w:val="00"/>
    <w:family w:val="auto"/>
    <w:pitch w:val="default"/>
    <w:sig w:usb0="A00002C7" w:usb1="00000002" w:usb2="00000000" w:usb3="00000000" w:csb0="2000019F" w:csb1="00000000"/>
  </w:font>
  <w:font w:name="Bahnschrift Light">
    <w:panose1 w:val="020B0502040204020203"/>
    <w:charset w:val="00"/>
    <w:family w:val="auto"/>
    <w:pitch w:val="default"/>
    <w:sig w:usb0="A00002C7" w:usb1="00000002" w:usb2="00000000" w:usb3="00000000" w:csb0="2000019F" w:csb1="00000000"/>
  </w:font>
  <w:font w:name="Yu Gothic Medium">
    <w:panose1 w:val="020B0500000000000000"/>
    <w:charset w:val="80"/>
    <w:family w:val="auto"/>
    <w:pitch w:val="default"/>
    <w:sig w:usb0="E00002FF" w:usb1="2AC7FDFF" w:usb2="00000016" w:usb3="00000000" w:csb0="2002009F" w:csb1="00000000"/>
  </w:font>
  <w:font w:name="Bookman Old Style">
    <w:panose1 w:val="02050604050505020204"/>
    <w:charset w:val="00"/>
    <w:family w:val="auto"/>
    <w:pitch w:val="default"/>
    <w:sig w:usb0="00000287" w:usb1="00000000" w:usb2="00000000" w:usb3="00000000" w:csb0="2000009F" w:csb1="DFD70000"/>
  </w:font>
  <w:font w:name="Candara Light">
    <w:panose1 w:val="020E0502030303020204"/>
    <w:charset w:val="00"/>
    <w:family w:val="auto"/>
    <w:pitch w:val="default"/>
    <w:sig w:usb0="A00002FF" w:usb1="00000002" w:usb2="00000000" w:usb3="00000000" w:csb0="0000019F" w:csb1="00000000"/>
  </w:font>
  <w:font w:name="Engravers MT">
    <w:panose1 w:val="02090707080505020304"/>
    <w:charset w:val="00"/>
    <w:family w:val="auto"/>
    <w:pitch w:val="default"/>
    <w:sig w:usb0="00000003" w:usb1="00000000" w:usb2="00000000" w:usb3="00000000" w:csb0="20000001" w:csb1="00000000"/>
  </w:font>
  <w:font w:name="Franklin Gothic Heavy">
    <w:panose1 w:val="020B0903020102020204"/>
    <w:charset w:val="00"/>
    <w:family w:val="auto"/>
    <w:pitch w:val="default"/>
    <w:sig w:usb0="00000287" w:usb1="00000000" w:usb2="00000000" w:usb3="00000000" w:csb0="2000009F" w:csb1="DFD70000"/>
  </w:font>
  <w:font w:name="Gill Sans Ultra Bold Condensed">
    <w:panose1 w:val="020B0A06020104020203"/>
    <w:charset w:val="00"/>
    <w:family w:val="auto"/>
    <w:pitch w:val="default"/>
    <w:sig w:usb0="00000003" w:usb1="00000000" w:usb2="00000000" w:usb3="00000000" w:csb0="00000003" w:csb1="00000000"/>
  </w:font>
  <w:font w:name="Gloucester MT Extra Condensed">
    <w:panose1 w:val="02030808020601010101"/>
    <w:charset w:val="00"/>
    <w:family w:val="auto"/>
    <w:pitch w:val="default"/>
    <w:sig w:usb0="00000003" w:usb1="00000000" w:usb2="00000000" w:usb3="00000000" w:csb0="20000001" w:csb1="00000000"/>
  </w:font>
  <w:font w:name="Ink Free">
    <w:panose1 w:val="03080402000500000000"/>
    <w:charset w:val="00"/>
    <w:family w:val="auto"/>
    <w:pitch w:val="default"/>
    <w:sig w:usb0="0000068F" w:usb1="4000000A" w:usb2="00000000" w:usb3="00000000" w:csb0="0000019F" w:csb1="00000000"/>
  </w:font>
  <w:font w:name="Lucida Sans Unicode">
    <w:panose1 w:val="020B0602030504020204"/>
    <w:charset w:val="00"/>
    <w:family w:val="auto"/>
    <w:pitch w:val="default"/>
    <w:sig w:usb0="80001AFF" w:usb1="0000396B" w:usb2="00000000" w:usb3="00000000" w:csb0="200000BF" w:csb1="D7F70000"/>
  </w:font>
  <w:font w:name="Mongolian Baiti">
    <w:panose1 w:val="03000500000000000000"/>
    <w:charset w:val="00"/>
    <w:family w:val="auto"/>
    <w:pitch w:val="default"/>
    <w:sig w:usb0="80000023" w:usb1="00000000" w:usb2="00020000" w:usb3="00000000" w:csb0="00000001" w:csb1="00000000"/>
  </w:font>
  <w:font w:name="Old English Text MT">
    <w:panose1 w:val="03040902040508030806"/>
    <w:charset w:val="00"/>
    <w:family w:val="auto"/>
    <w:pitch w:val="default"/>
    <w:sig w:usb0="00000003" w:usb1="00000000" w:usb2="00000000" w:usb3="00000000" w:csb0="20000001" w:csb1="00000000"/>
  </w:font>
  <w:font w:name="Rockwell">
    <w:panose1 w:val="02060603020205020403"/>
    <w:charset w:val="00"/>
    <w:family w:val="auto"/>
    <w:pitch w:val="default"/>
    <w:sig w:usb0="00000003" w:usb1="00000000" w:usb2="00000000" w:usb3="00000000" w:csb0="20000001" w:csb1="00000000"/>
  </w:font>
  <w:font w:name="Segoe UI Light">
    <w:panose1 w:val="020B0502040204020203"/>
    <w:charset w:val="00"/>
    <w:family w:val="auto"/>
    <w:pitch w:val="default"/>
    <w:sig w:usb0="E4002EFF" w:usb1="C000E47F" w:usb2="00000009" w:usb3="00000000" w:csb0="200001FF" w:csb1="00000000"/>
  </w:font>
  <w:font w:name="Segoe UI Variable Text Light">
    <w:panose1 w:val="00000000000000000000"/>
    <w:charset w:val="00"/>
    <w:family w:val="auto"/>
    <w:pitch w:val="default"/>
    <w:sig w:usb0="A00002FF" w:usb1="0000000B" w:usb2="00000000" w:usb3="00000000" w:csb0="2000019F" w:csb1="00000000"/>
  </w:font>
  <w:font w:name="Sitka Text">
    <w:panose1 w:val="00000000000000000000"/>
    <w:charset w:val="00"/>
    <w:family w:val="auto"/>
    <w:pitch w:val="default"/>
    <w:sig w:usb0="A00002EF" w:usb1="4000204B" w:usb2="00000000" w:usb3="00000000" w:csb0="2000019F" w:csb1="00000000"/>
  </w:font>
  <w:font w:name="Tw Cen MT Condensed Extra Bold">
    <w:panose1 w:val="020B0803020202020204"/>
    <w:charset w:val="00"/>
    <w:family w:val="auto"/>
    <w:pitch w:val="default"/>
    <w:sig w:usb0="00000003" w:usb1="00000000" w:usb2="00000000" w:usb3="00000000" w:csb0="20000003" w:csb1="00000000"/>
  </w:font>
  <w:font w:name="Verdana">
    <w:panose1 w:val="020B0604030504040204"/>
    <w:charset w:val="00"/>
    <w:family w:val="auto"/>
    <w:pitch w:val="default"/>
    <w:sig w:usb0="A00006FF" w:usb1="4000205B" w:usb2="00000010" w:usb3="00000000" w:csb0="2000019F" w:csb1="00000000"/>
  </w:font>
  <w:font w:name="Trebuchet MS">
    <w:panose1 w:val="020B0603020202020204"/>
    <w:charset w:val="00"/>
    <w:family w:val="auto"/>
    <w:pitch w:val="default"/>
    <w:sig w:usb0="00000687" w:usb1="00000000" w:usb2="00000000" w:usb3="00000000" w:csb0="2000009F" w:csb1="00000000"/>
  </w:font>
  <w:font w:name="Stencil">
    <w:panose1 w:val="040409050D0802020404"/>
    <w:charset w:val="00"/>
    <w:family w:val="auto"/>
    <w:pitch w:val="default"/>
    <w:sig w:usb0="00000003" w:usb1="00000000" w:usb2="00000000" w:usb3="00000000" w:csb0="20000001" w:csb1="00000000"/>
  </w:font>
  <w:font w:name="Snap ITC">
    <w:panose1 w:val="04040A07060A02020202"/>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358697FF"/>
    <w:multiLevelType w:val="singleLevel"/>
    <w:tmpl w:val="358697FF"/>
    <w:lvl w:ilvl="0" w:tentative="0">
      <w:start w:val="7"/>
      <w:numFmt w:val="chineseCounting"/>
      <w:suff w:val="nothing"/>
      <w:lvlText w:val="%1、"/>
      <w:lvlJc w:val="left"/>
      <w:rPr>
        <w:rFonts w:hint="eastAsia"/>
      </w:r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66"/>
      <w:suff w:val="nothing"/>
      <w:lvlText w:val="%1%2　"/>
      <w:lvlJc w:val="left"/>
      <w:pPr>
        <w:ind w:left="0" w:firstLine="0"/>
      </w:pPr>
      <w:rPr>
        <w:rFonts w:hint="eastAsia" w:ascii="黑体" w:eastAsia="黑体"/>
        <w:b w:val="0"/>
        <w:i w:val="0"/>
        <w:sz w:val="21"/>
      </w:rPr>
    </w:lvl>
    <w:lvl w:ilvl="2" w:tentative="0">
      <w:start w:val="1"/>
      <w:numFmt w:val="decimal"/>
      <w:pStyle w:val="1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mY2M0ZWY4OTBjMTg3NzRmYmVlOTAxMTFhN2VjNDQifQ=="/>
  </w:docVars>
  <w:rsids>
    <w:rsidRoot w:val="00B47730"/>
    <w:rsid w:val="00034616"/>
    <w:rsid w:val="0006063C"/>
    <w:rsid w:val="0015074B"/>
    <w:rsid w:val="0029639D"/>
    <w:rsid w:val="00326F90"/>
    <w:rsid w:val="00AA1D8D"/>
    <w:rsid w:val="00B47730"/>
    <w:rsid w:val="00CB0664"/>
    <w:rsid w:val="00FC693F"/>
    <w:rsid w:val="09187338"/>
    <w:rsid w:val="11D007C9"/>
    <w:rsid w:val="1DEF28E6"/>
    <w:rsid w:val="227A46F6"/>
    <w:rsid w:val="23F7527F"/>
    <w:rsid w:val="253E4FCD"/>
    <w:rsid w:val="253F5721"/>
    <w:rsid w:val="27637EA1"/>
    <w:rsid w:val="31DE2F46"/>
    <w:rsid w:val="345968B4"/>
    <w:rsid w:val="3FC66DAF"/>
    <w:rsid w:val="406665E0"/>
    <w:rsid w:val="410A340F"/>
    <w:rsid w:val="4B433304"/>
    <w:rsid w:val="51160645"/>
    <w:rsid w:val="55AA6B17"/>
    <w:rsid w:val="59747B68"/>
    <w:rsid w:val="61D373F6"/>
    <w:rsid w:val="7FB87E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uiPriority="99" w:semiHidden="0" w:name="List Number"/>
    <w:lsdException w:qFormat="1" w:uiPriority="99" w:semiHidden="0" w:name="List 2"/>
    <w:lsdException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autoRedefine/>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autoRedefine/>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autoRedefine/>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autoRedefine/>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autoRedefine/>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5">
    <w:name w:val="标准文件_一级条标题"/>
    <w:basedOn w:val="166"/>
    <w:next w:val="164"/>
    <w:autoRedefine/>
    <w:qFormat/>
    <w:uiPriority w:val="0"/>
    <w:pPr>
      <w:numPr>
        <w:ilvl w:val="2"/>
      </w:numPr>
      <w:spacing w:before="50" w:beforeLines="50" w:after="50" w:afterLines="50"/>
      <w:outlineLvl w:val="1"/>
    </w:pPr>
  </w:style>
  <w:style w:type="paragraph" w:customStyle="1" w:styleId="166">
    <w:name w:val="标准文件_章标题"/>
    <w:next w:val="164"/>
    <w:autoRedefine/>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2858</Words>
  <Characters>3052</Characters>
  <Lines>0</Lines>
  <Paragraphs>0</Paragraphs>
  <TotalTime>10</TotalTime>
  <ScaleCrop>false</ScaleCrop>
  <LinksUpToDate>false</LinksUpToDate>
  <CharactersWithSpaces>3133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霍光华</cp:lastModifiedBy>
  <dcterms:modified xsi:type="dcterms:W3CDTF">2025-10-12T02:27:10Z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eyJoZGlkIjoiMjM5ZjMyYTJhNmI4YzcxNzYwYmU3NDFkNDZmZTk2ZTMiLCJ1c2VySWQiOiI2NzU2ODczMjcifQ==</vt:lpwstr>
  </property>
  <property fmtid="{D5CDD505-2E9C-101B-9397-08002B2CF9AE}" pid="3" name="KSOProductBuildVer">
    <vt:lpwstr>2052-12.1.0.16388</vt:lpwstr>
  </property>
  <property fmtid="{D5CDD505-2E9C-101B-9397-08002B2CF9AE}" pid="4" name="ICV">
    <vt:lpwstr>C8A446A15037467BA62AA001A1559605_12</vt:lpwstr>
  </property>
</Properties>
</file>